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F0133">
      <w:pPr>
        <w:spacing w:line="240" w:lineRule="auto"/>
        <w:rPr>
          <w:sz w:val="40"/>
          <w:szCs w:val="40"/>
          <w:lang w:val="mn-MN"/>
        </w:rPr>
      </w:pPr>
      <w:r>
        <w:rPr>
          <w:rFonts w:hint="eastAsia"/>
          <w:sz w:val="40"/>
          <w:szCs w:val="40"/>
          <w:lang w:val="mn-MN"/>
        </w:rPr>
        <w:t xml:space="preserve"> </w:t>
      </w:r>
    </w:p>
    <w:p w14:paraId="5EB08148">
      <w:pPr>
        <w:spacing w:line="240" w:lineRule="auto"/>
        <w:rPr>
          <w:sz w:val="40"/>
          <w:szCs w:val="40"/>
          <w:lang w:val="mn-MN"/>
        </w:rPr>
      </w:pPr>
    </w:p>
    <w:p w14:paraId="039224CB">
      <w:pPr>
        <w:spacing w:line="240" w:lineRule="auto"/>
        <w:rPr>
          <w:sz w:val="40"/>
          <w:szCs w:val="40"/>
        </w:rPr>
      </w:pPr>
    </w:p>
    <w:p w14:paraId="713C5424">
      <w:pPr>
        <w:spacing w:line="240" w:lineRule="auto"/>
        <w:jc w:val="center"/>
        <w:rPr>
          <w:sz w:val="72"/>
          <w:szCs w:val="40"/>
          <w:lang w:val="mn-MN"/>
        </w:rPr>
      </w:pPr>
      <w:r>
        <w:rPr>
          <w:sz w:val="72"/>
          <w:szCs w:val="40"/>
          <w:lang w:val="mn-MN"/>
        </w:rPr>
        <w:t>Шинь Шинь ХХК</w:t>
      </w:r>
    </w:p>
    <w:p w14:paraId="2B40B50A">
      <w:pPr>
        <w:spacing w:line="240" w:lineRule="auto"/>
        <w:jc w:val="center"/>
        <w:rPr>
          <w:sz w:val="44"/>
          <w:szCs w:val="40"/>
          <w:lang w:val="mn-MN"/>
        </w:rPr>
      </w:pPr>
      <w:r>
        <w:rPr>
          <w:sz w:val="44"/>
          <w:szCs w:val="40"/>
          <w:lang w:val="mn-MN"/>
        </w:rPr>
        <w:t xml:space="preserve">Төмөр замын тээвэр зууч </w:t>
      </w:r>
    </w:p>
    <w:p w14:paraId="2F8F9450">
      <w:pPr>
        <w:spacing w:line="240" w:lineRule="auto"/>
        <w:rPr>
          <w:sz w:val="40"/>
          <w:szCs w:val="40"/>
          <w:lang w:val="mn-MN"/>
        </w:rPr>
      </w:pPr>
    </w:p>
    <w:p w14:paraId="6B8B9242">
      <w:pPr>
        <w:spacing w:line="240" w:lineRule="auto"/>
        <w:rPr>
          <w:sz w:val="40"/>
          <w:szCs w:val="40"/>
          <w:lang w:val="mn-MN"/>
        </w:rPr>
      </w:pPr>
    </w:p>
    <w:p w14:paraId="221A8CA1">
      <w:pPr>
        <w:spacing w:after="0" w:line="240" w:lineRule="auto"/>
        <w:rPr>
          <w:rFonts w:eastAsia="仿宋"/>
          <w:b/>
          <w:sz w:val="40"/>
          <w:szCs w:val="40"/>
          <w:lang w:val="mn-MN"/>
        </w:rPr>
      </w:pPr>
    </w:p>
    <w:p w14:paraId="5B422488">
      <w:pPr>
        <w:spacing w:after="0" w:line="240" w:lineRule="auto"/>
        <w:rPr>
          <w:rFonts w:eastAsia="仿宋"/>
          <w:b/>
          <w:sz w:val="40"/>
          <w:szCs w:val="40"/>
          <w:lang w:val="mn-MN"/>
        </w:rPr>
      </w:pPr>
    </w:p>
    <w:p w14:paraId="38E15AFC">
      <w:pPr>
        <w:spacing w:after="0" w:line="240" w:lineRule="auto"/>
        <w:rPr>
          <w:rFonts w:eastAsia="仿宋"/>
          <w:b/>
          <w:sz w:val="40"/>
          <w:szCs w:val="40"/>
          <w:lang w:val="mn-MN"/>
        </w:rPr>
      </w:pPr>
    </w:p>
    <w:p w14:paraId="1CE63D7E">
      <w:pPr>
        <w:spacing w:after="0" w:line="240" w:lineRule="auto"/>
        <w:jc w:val="center"/>
        <w:rPr>
          <w:rFonts w:eastAsia="仿宋"/>
          <w:b/>
          <w:sz w:val="48"/>
          <w:szCs w:val="48"/>
          <w:lang w:val="mn-MN"/>
        </w:rPr>
      </w:pPr>
      <w:r>
        <w:rPr>
          <w:rFonts w:eastAsia="仿宋"/>
          <w:b/>
          <w:sz w:val="72"/>
          <w:szCs w:val="48"/>
          <w:lang w:val="mn-MN"/>
        </w:rPr>
        <w:t>Тендерийн урилга</w:t>
      </w:r>
      <w:r>
        <w:rPr>
          <w:rFonts w:eastAsia="仿宋"/>
          <w:b/>
          <w:sz w:val="48"/>
          <w:szCs w:val="48"/>
          <w:lang w:val="mn-MN"/>
        </w:rPr>
        <w:t xml:space="preserve"> </w:t>
      </w:r>
    </w:p>
    <w:p w14:paraId="6053B9F2">
      <w:pPr>
        <w:spacing w:after="0" w:line="240" w:lineRule="auto"/>
        <w:rPr>
          <w:rFonts w:eastAsia="仿宋"/>
          <w:b/>
          <w:sz w:val="48"/>
          <w:szCs w:val="48"/>
          <w:lang w:val="mn-MN"/>
        </w:rPr>
      </w:pPr>
    </w:p>
    <w:p w14:paraId="191E541C">
      <w:pPr>
        <w:spacing w:after="0" w:line="240" w:lineRule="auto"/>
        <w:rPr>
          <w:rFonts w:eastAsia="仿宋"/>
          <w:b/>
          <w:sz w:val="32"/>
          <w:szCs w:val="32"/>
          <w:lang w:val="mn-MN"/>
        </w:rPr>
      </w:pPr>
    </w:p>
    <w:p w14:paraId="0999BE28">
      <w:pPr>
        <w:tabs>
          <w:tab w:val="left" w:pos="3180"/>
          <w:tab w:val="center" w:pos="4524"/>
        </w:tabs>
        <w:spacing w:after="0" w:line="240" w:lineRule="auto"/>
        <w:jc w:val="center"/>
        <w:rPr>
          <w:rFonts w:eastAsia="仿宋"/>
          <w:b/>
          <w:sz w:val="36"/>
          <w:szCs w:val="36"/>
        </w:rPr>
      </w:pPr>
      <w:r>
        <w:rPr>
          <w:rFonts w:eastAsia="仿宋"/>
          <w:b/>
          <w:sz w:val="36"/>
          <w:szCs w:val="36"/>
          <w:lang w:val="mn-MN"/>
        </w:rPr>
        <w:t xml:space="preserve">Тендерийн дугаар: </w:t>
      </w:r>
      <w:r>
        <w:rPr>
          <w:rFonts w:eastAsia="仿宋"/>
          <w:b/>
          <w:sz w:val="36"/>
          <w:szCs w:val="36"/>
        </w:rPr>
        <w:t>XXQDYS202</w:t>
      </w:r>
      <w:r>
        <w:rPr>
          <w:rFonts w:hint="eastAsia" w:eastAsia="仿宋"/>
          <w:b/>
          <w:sz w:val="36"/>
          <w:szCs w:val="36"/>
          <w:lang w:val="en-US" w:eastAsia="zh-CN"/>
        </w:rPr>
        <w:t>6</w:t>
      </w:r>
      <w:r>
        <w:rPr>
          <w:rFonts w:eastAsia="仿宋"/>
          <w:b/>
          <w:sz w:val="36"/>
          <w:szCs w:val="36"/>
        </w:rPr>
        <w:t>001</w:t>
      </w:r>
    </w:p>
    <w:p w14:paraId="5D40DF56">
      <w:pPr>
        <w:tabs>
          <w:tab w:val="left" w:pos="3180"/>
          <w:tab w:val="center" w:pos="4524"/>
        </w:tabs>
        <w:spacing w:after="0" w:line="240" w:lineRule="auto"/>
        <w:jc w:val="center"/>
        <w:rPr>
          <w:rFonts w:eastAsia="仿宋"/>
          <w:b/>
          <w:sz w:val="36"/>
          <w:szCs w:val="36"/>
          <w:lang w:val="mn-MN"/>
        </w:rPr>
      </w:pPr>
    </w:p>
    <w:p w14:paraId="03AF0F0F">
      <w:pPr>
        <w:tabs>
          <w:tab w:val="left" w:pos="3180"/>
          <w:tab w:val="center" w:pos="4524"/>
        </w:tabs>
        <w:spacing w:after="0" w:line="240" w:lineRule="auto"/>
        <w:jc w:val="center"/>
        <w:rPr>
          <w:rFonts w:eastAsia="仿宋"/>
          <w:b/>
          <w:sz w:val="36"/>
          <w:szCs w:val="36"/>
          <w:lang w:val="mn-MN"/>
        </w:rPr>
      </w:pPr>
    </w:p>
    <w:p w14:paraId="6E059677">
      <w:pPr>
        <w:tabs>
          <w:tab w:val="left" w:pos="3180"/>
          <w:tab w:val="center" w:pos="4524"/>
        </w:tabs>
        <w:spacing w:after="0" w:line="240" w:lineRule="auto"/>
        <w:jc w:val="center"/>
        <w:rPr>
          <w:rFonts w:eastAsia="仿宋"/>
          <w:b/>
          <w:sz w:val="32"/>
          <w:szCs w:val="36"/>
          <w:lang w:val="mn-MN"/>
        </w:rPr>
      </w:pPr>
    </w:p>
    <w:p w14:paraId="2F04FC1F">
      <w:pPr>
        <w:tabs>
          <w:tab w:val="left" w:pos="3180"/>
          <w:tab w:val="center" w:pos="4524"/>
        </w:tabs>
        <w:spacing w:after="0" w:line="240" w:lineRule="auto"/>
        <w:rPr>
          <w:rFonts w:eastAsia="仿宋"/>
          <w:b/>
          <w:sz w:val="32"/>
          <w:szCs w:val="36"/>
          <w:lang w:val="mn-MN"/>
        </w:rPr>
      </w:pPr>
      <w:r>
        <w:rPr>
          <w:rFonts w:eastAsia="仿宋"/>
          <w:b/>
          <w:sz w:val="32"/>
          <w:szCs w:val="36"/>
          <w:lang w:val="mn-MN"/>
        </w:rPr>
        <w:t>Төслийн нэр: Шинь Шинь ХХК-ний баяжмал тээвэрлэлтийн төмөр замын тээвэр зуучийн ажлыг гүйцэтгэх</w:t>
      </w:r>
    </w:p>
    <w:p w14:paraId="69645314">
      <w:pPr>
        <w:tabs>
          <w:tab w:val="left" w:pos="3180"/>
          <w:tab w:val="center" w:pos="4524"/>
        </w:tabs>
        <w:spacing w:after="0" w:line="240" w:lineRule="auto"/>
        <w:jc w:val="center"/>
        <w:rPr>
          <w:rFonts w:eastAsia="仿宋"/>
          <w:b/>
          <w:sz w:val="32"/>
          <w:szCs w:val="36"/>
          <w:lang w:val="mn-MN"/>
        </w:rPr>
      </w:pPr>
    </w:p>
    <w:p w14:paraId="3322943A">
      <w:pPr>
        <w:tabs>
          <w:tab w:val="left" w:pos="3180"/>
          <w:tab w:val="center" w:pos="4524"/>
        </w:tabs>
        <w:spacing w:after="0" w:line="240" w:lineRule="auto"/>
        <w:rPr>
          <w:rFonts w:eastAsia="仿宋"/>
          <w:b/>
          <w:sz w:val="32"/>
          <w:szCs w:val="36"/>
          <w:u w:val="single"/>
          <w:lang w:val="mn-MN"/>
        </w:rPr>
      </w:pPr>
      <w:r>
        <w:rPr>
          <w:rFonts w:eastAsia="仿宋"/>
          <w:b/>
          <w:sz w:val="32"/>
          <w:szCs w:val="36"/>
          <w:u w:val="single"/>
          <w:lang w:val="mn-MN"/>
        </w:rPr>
        <w:t>Төслийн санаачлагч: Шинь Шинь ХХК（Тамга）</w:t>
      </w:r>
    </w:p>
    <w:p w14:paraId="61111C56">
      <w:pPr>
        <w:tabs>
          <w:tab w:val="left" w:pos="3180"/>
          <w:tab w:val="center" w:pos="4524"/>
        </w:tabs>
        <w:spacing w:after="0" w:line="240" w:lineRule="auto"/>
        <w:rPr>
          <w:rFonts w:eastAsia="仿宋"/>
          <w:b/>
          <w:sz w:val="32"/>
          <w:szCs w:val="36"/>
          <w:u w:val="single"/>
          <w:lang w:val="mn-MN"/>
        </w:rPr>
      </w:pPr>
    </w:p>
    <w:p w14:paraId="0FA2A947">
      <w:pPr>
        <w:tabs>
          <w:tab w:val="left" w:pos="3180"/>
          <w:tab w:val="center" w:pos="4524"/>
        </w:tabs>
        <w:spacing w:after="0" w:line="240" w:lineRule="auto"/>
        <w:rPr>
          <w:rFonts w:eastAsia="仿宋"/>
          <w:b/>
          <w:sz w:val="32"/>
          <w:szCs w:val="36"/>
          <w:lang w:val="mn-MN"/>
        </w:rPr>
      </w:pPr>
      <w:r>
        <w:rPr>
          <w:rFonts w:eastAsia="仿宋"/>
          <w:b/>
          <w:sz w:val="32"/>
          <w:szCs w:val="36"/>
          <w:lang w:val="mn-MN"/>
        </w:rPr>
        <w:t xml:space="preserve">Хуулийн этгээд эсвэл </w:t>
      </w:r>
    </w:p>
    <w:p w14:paraId="502AFD04">
      <w:pPr>
        <w:tabs>
          <w:tab w:val="left" w:pos="3180"/>
          <w:tab w:val="center" w:pos="4524"/>
        </w:tabs>
        <w:spacing w:after="0" w:line="240" w:lineRule="auto"/>
        <w:rPr>
          <w:rFonts w:eastAsia="仿宋"/>
          <w:b/>
          <w:sz w:val="32"/>
          <w:szCs w:val="36"/>
          <w:u w:val="single"/>
          <w:lang w:val="mn-MN"/>
        </w:rPr>
      </w:pPr>
      <w:r>
        <w:rPr>
          <w:rFonts w:eastAsia="仿宋"/>
          <w:b/>
          <w:sz w:val="32"/>
          <w:szCs w:val="36"/>
          <w:u w:val="single"/>
          <w:lang w:val="mn-MN"/>
        </w:rPr>
        <w:t>Итгэмжлэгдсэн төлөөлөгч:       （Гарын үсэг）</w:t>
      </w:r>
    </w:p>
    <w:p w14:paraId="71E8734F">
      <w:pPr>
        <w:tabs>
          <w:tab w:val="left" w:pos="3180"/>
          <w:tab w:val="center" w:pos="4524"/>
        </w:tabs>
        <w:spacing w:after="0" w:line="240" w:lineRule="auto"/>
        <w:rPr>
          <w:rFonts w:eastAsia="仿宋"/>
          <w:b/>
          <w:sz w:val="32"/>
          <w:szCs w:val="36"/>
          <w:lang w:val="mn-MN"/>
        </w:rPr>
      </w:pPr>
    </w:p>
    <w:p w14:paraId="62345888">
      <w:pPr>
        <w:tabs>
          <w:tab w:val="left" w:pos="3180"/>
          <w:tab w:val="center" w:pos="4524"/>
        </w:tabs>
        <w:spacing w:after="0" w:line="240" w:lineRule="auto"/>
        <w:rPr>
          <w:rFonts w:eastAsia="仿宋"/>
          <w:b/>
          <w:sz w:val="32"/>
          <w:szCs w:val="36"/>
          <w:lang w:val="mn-MN"/>
        </w:rPr>
      </w:pPr>
    </w:p>
    <w:p w14:paraId="14E6AF39">
      <w:pPr>
        <w:tabs>
          <w:tab w:val="left" w:pos="3180"/>
          <w:tab w:val="center" w:pos="4524"/>
        </w:tabs>
        <w:spacing w:after="0" w:line="240" w:lineRule="auto"/>
        <w:rPr>
          <w:rFonts w:eastAsia="仿宋"/>
          <w:b/>
          <w:sz w:val="36"/>
          <w:szCs w:val="36"/>
          <w:lang w:val="mn-MN"/>
        </w:rPr>
      </w:pPr>
    </w:p>
    <w:p w14:paraId="62222502">
      <w:pPr>
        <w:spacing w:line="240" w:lineRule="auto"/>
        <w:jc w:val="center"/>
        <w:rPr>
          <w:rFonts w:eastAsia="仿宋"/>
          <w:b/>
          <w:sz w:val="32"/>
          <w:szCs w:val="36"/>
          <w:lang w:val="mn-MN"/>
        </w:rPr>
      </w:pPr>
      <w:r>
        <w:rPr>
          <w:rFonts w:eastAsia="仿宋"/>
          <w:b/>
          <w:sz w:val="32"/>
          <w:szCs w:val="36"/>
          <w:lang w:val="mn-MN"/>
        </w:rPr>
        <w:t>202</w:t>
      </w:r>
      <w:r>
        <w:rPr>
          <w:rFonts w:hint="eastAsia" w:eastAsia="仿宋"/>
          <w:b/>
          <w:sz w:val="32"/>
          <w:szCs w:val="36"/>
          <w:lang w:val="en-US" w:eastAsia="zh-CN"/>
        </w:rPr>
        <w:t>6</w:t>
      </w:r>
      <w:r>
        <w:rPr>
          <w:rFonts w:eastAsia="仿宋"/>
          <w:b/>
          <w:sz w:val="32"/>
          <w:szCs w:val="36"/>
          <w:lang w:val="mn-MN"/>
        </w:rPr>
        <w:t xml:space="preserve"> он </w:t>
      </w:r>
      <w:r>
        <w:rPr>
          <w:rFonts w:hint="eastAsia" w:eastAsia="仿宋"/>
          <w:b/>
          <w:sz w:val="32"/>
          <w:szCs w:val="36"/>
          <w:lang w:val="en-US" w:eastAsia="zh-CN"/>
        </w:rPr>
        <w:t>2</w:t>
      </w:r>
      <w:r>
        <w:rPr>
          <w:rFonts w:eastAsia="仿宋"/>
          <w:b/>
          <w:sz w:val="32"/>
          <w:szCs w:val="36"/>
          <w:lang w:val="mn-MN"/>
        </w:rPr>
        <w:t xml:space="preserve"> сар </w:t>
      </w:r>
    </w:p>
    <w:p w14:paraId="0C50D75E">
      <w:pPr>
        <w:widowControl/>
        <w:spacing w:after="0" w:line="240" w:lineRule="auto"/>
        <w:jc w:val="center"/>
        <w:rPr>
          <w:rFonts w:eastAsia="仿宋"/>
          <w:b/>
          <w:sz w:val="32"/>
          <w:szCs w:val="32"/>
          <w:lang w:val="mn-MN"/>
        </w:rPr>
      </w:pPr>
    </w:p>
    <w:p w14:paraId="20675981">
      <w:pPr>
        <w:widowControl/>
        <w:spacing w:after="0" w:line="240" w:lineRule="auto"/>
        <w:jc w:val="center"/>
        <w:rPr>
          <w:rFonts w:eastAsia="仿宋"/>
          <w:b/>
          <w:sz w:val="32"/>
          <w:szCs w:val="32"/>
          <w:lang w:val="mn-MN"/>
        </w:rPr>
      </w:pPr>
      <w:r>
        <w:rPr>
          <w:rFonts w:eastAsia="仿宋"/>
          <w:b/>
          <w:sz w:val="32"/>
          <w:szCs w:val="32"/>
          <w:lang w:val="mn-MN"/>
        </w:rPr>
        <w:t>Тендерийн явцыг төлөвлөх хүснэгт</w:t>
      </w:r>
    </w:p>
    <w:p w14:paraId="6D1AF03D">
      <w:pPr>
        <w:widowControl/>
        <w:spacing w:after="0" w:line="240" w:lineRule="auto"/>
        <w:jc w:val="center"/>
        <w:rPr>
          <w:rFonts w:eastAsia="仿宋"/>
          <w:b/>
          <w:sz w:val="24"/>
          <w:lang w:val="mn-MN"/>
        </w:rPr>
      </w:pPr>
    </w:p>
    <w:tbl>
      <w:tblPr>
        <w:tblStyle w:val="18"/>
        <w:tblW w:w="0" w:type="auto"/>
        <w:tblInd w:w="0" w:type="dxa"/>
        <w:tblLayout w:type="fixed"/>
        <w:tblCellMar>
          <w:top w:w="0" w:type="dxa"/>
          <w:left w:w="0" w:type="dxa"/>
          <w:bottom w:w="0" w:type="dxa"/>
          <w:right w:w="0" w:type="dxa"/>
        </w:tblCellMar>
      </w:tblPr>
      <w:tblGrid>
        <w:gridCol w:w="567"/>
        <w:gridCol w:w="1862"/>
        <w:gridCol w:w="2400"/>
        <w:gridCol w:w="2546"/>
        <w:gridCol w:w="2075"/>
      </w:tblGrid>
      <w:tr w14:paraId="1E62243F">
        <w:tblPrEx>
          <w:tblCellMar>
            <w:top w:w="0" w:type="dxa"/>
            <w:left w:w="0" w:type="dxa"/>
            <w:bottom w:w="0" w:type="dxa"/>
            <w:right w:w="0" w:type="dxa"/>
          </w:tblCellMar>
        </w:tblPrEx>
        <w:trPr>
          <w:trHeight w:val="323" w:hRule="atLeast"/>
        </w:trPr>
        <w:tc>
          <w:tcPr>
            <w:tcW w:w="567" w:type="dxa"/>
            <w:tcBorders>
              <w:top w:val="single" w:color="auto" w:sz="4" w:space="0"/>
              <w:left w:val="single" w:color="auto" w:sz="4" w:space="0"/>
              <w:bottom w:val="single" w:color="auto" w:sz="4" w:space="0"/>
              <w:right w:val="single" w:color="auto" w:sz="4" w:space="0"/>
            </w:tcBorders>
            <w:tcMar>
              <w:top w:w="19" w:type="dxa"/>
              <w:left w:w="19" w:type="dxa"/>
              <w:bottom w:w="0" w:type="dxa"/>
              <w:right w:w="19" w:type="dxa"/>
            </w:tcMar>
            <w:vAlign w:val="center"/>
          </w:tcPr>
          <w:p w14:paraId="64193201">
            <w:pPr>
              <w:widowControl/>
              <w:spacing w:after="0" w:line="240" w:lineRule="auto"/>
              <w:jc w:val="center"/>
              <w:rPr>
                <w:rFonts w:eastAsia="仿宋"/>
                <w:b/>
                <w:bCs/>
                <w:sz w:val="24"/>
                <w:lang w:val="mn-MN"/>
              </w:rPr>
            </w:pPr>
            <w:r>
              <w:rPr>
                <w:rFonts w:eastAsia="仿宋"/>
                <w:b/>
                <w:bCs/>
                <w:sz w:val="24"/>
                <w:lang w:val="mn-MN"/>
              </w:rPr>
              <w:t>№</w:t>
            </w:r>
          </w:p>
        </w:tc>
        <w:tc>
          <w:tcPr>
            <w:tcW w:w="1862" w:type="dxa"/>
            <w:tcBorders>
              <w:top w:val="single" w:color="auto" w:sz="4" w:space="0"/>
              <w:left w:val="nil"/>
              <w:bottom w:val="single" w:color="auto" w:sz="4" w:space="0"/>
              <w:right w:val="single" w:color="auto" w:sz="4" w:space="0"/>
            </w:tcBorders>
            <w:tcMar>
              <w:top w:w="19" w:type="dxa"/>
              <w:left w:w="19" w:type="dxa"/>
              <w:bottom w:w="0" w:type="dxa"/>
              <w:right w:w="19" w:type="dxa"/>
            </w:tcMar>
            <w:vAlign w:val="center"/>
          </w:tcPr>
          <w:p w14:paraId="00E3CFFF">
            <w:pPr>
              <w:widowControl/>
              <w:spacing w:after="0" w:line="240" w:lineRule="auto"/>
              <w:jc w:val="center"/>
              <w:rPr>
                <w:rFonts w:eastAsia="仿宋"/>
                <w:b/>
                <w:bCs/>
                <w:sz w:val="24"/>
                <w:lang w:val="mn-MN"/>
              </w:rPr>
            </w:pPr>
            <w:r>
              <w:rPr>
                <w:rFonts w:eastAsia="仿宋"/>
                <w:b/>
                <w:bCs/>
                <w:sz w:val="24"/>
                <w:lang w:val="mn-MN"/>
              </w:rPr>
              <w:t>Агуулга</w:t>
            </w:r>
          </w:p>
        </w:tc>
        <w:tc>
          <w:tcPr>
            <w:tcW w:w="2400" w:type="dxa"/>
            <w:tcBorders>
              <w:top w:val="single" w:color="auto" w:sz="4" w:space="0"/>
              <w:left w:val="nil"/>
              <w:bottom w:val="single" w:color="auto" w:sz="4" w:space="0"/>
              <w:right w:val="single" w:color="auto" w:sz="4" w:space="0"/>
            </w:tcBorders>
            <w:tcMar>
              <w:top w:w="19" w:type="dxa"/>
              <w:left w:w="19" w:type="dxa"/>
              <w:bottom w:w="0" w:type="dxa"/>
              <w:right w:w="19" w:type="dxa"/>
            </w:tcMar>
            <w:vAlign w:val="center"/>
          </w:tcPr>
          <w:p w14:paraId="5E7BFE81">
            <w:pPr>
              <w:widowControl/>
              <w:spacing w:after="0" w:line="240" w:lineRule="auto"/>
              <w:jc w:val="center"/>
              <w:rPr>
                <w:rFonts w:eastAsia="仿宋"/>
                <w:b/>
                <w:bCs/>
                <w:sz w:val="24"/>
                <w:lang w:val="mn-MN"/>
              </w:rPr>
            </w:pPr>
            <w:r>
              <w:rPr>
                <w:rFonts w:eastAsia="仿宋"/>
                <w:b/>
                <w:bCs/>
                <w:sz w:val="24"/>
                <w:lang w:val="mn-MN"/>
              </w:rPr>
              <w:t>Хугацаа</w:t>
            </w:r>
          </w:p>
        </w:tc>
        <w:tc>
          <w:tcPr>
            <w:tcW w:w="2546" w:type="dxa"/>
            <w:tcBorders>
              <w:top w:val="single" w:color="auto" w:sz="4" w:space="0"/>
              <w:left w:val="nil"/>
              <w:bottom w:val="single" w:color="auto" w:sz="4" w:space="0"/>
              <w:right w:val="single" w:color="auto" w:sz="4" w:space="0"/>
            </w:tcBorders>
            <w:tcMar>
              <w:top w:w="19" w:type="dxa"/>
              <w:left w:w="19" w:type="dxa"/>
              <w:bottom w:w="0" w:type="dxa"/>
              <w:right w:w="19" w:type="dxa"/>
            </w:tcMar>
            <w:vAlign w:val="center"/>
          </w:tcPr>
          <w:p w14:paraId="2D4778F7">
            <w:pPr>
              <w:widowControl/>
              <w:spacing w:after="0" w:line="240" w:lineRule="auto"/>
              <w:jc w:val="center"/>
              <w:rPr>
                <w:rFonts w:eastAsia="仿宋"/>
                <w:b/>
                <w:bCs/>
                <w:sz w:val="24"/>
                <w:lang w:val="mn-MN"/>
              </w:rPr>
            </w:pPr>
            <w:r>
              <w:rPr>
                <w:rFonts w:eastAsia="仿宋"/>
                <w:b/>
                <w:bCs/>
                <w:sz w:val="24"/>
                <w:lang w:val="mn-MN"/>
              </w:rPr>
              <w:t>Байршил</w:t>
            </w:r>
          </w:p>
        </w:tc>
        <w:tc>
          <w:tcPr>
            <w:tcW w:w="2075" w:type="dxa"/>
            <w:tcBorders>
              <w:top w:val="single" w:color="auto" w:sz="4" w:space="0"/>
              <w:left w:val="nil"/>
              <w:bottom w:val="single" w:color="auto" w:sz="4" w:space="0"/>
              <w:right w:val="single" w:color="auto" w:sz="4" w:space="0"/>
            </w:tcBorders>
            <w:tcMar>
              <w:top w:w="19" w:type="dxa"/>
              <w:left w:w="19" w:type="dxa"/>
              <w:bottom w:w="0" w:type="dxa"/>
              <w:right w:w="19" w:type="dxa"/>
            </w:tcMar>
            <w:vAlign w:val="center"/>
          </w:tcPr>
          <w:p w14:paraId="3CDB2E5E">
            <w:pPr>
              <w:widowControl/>
              <w:spacing w:after="0" w:line="240" w:lineRule="auto"/>
              <w:jc w:val="center"/>
              <w:rPr>
                <w:rFonts w:eastAsia="仿宋"/>
                <w:b/>
                <w:bCs/>
                <w:sz w:val="24"/>
                <w:lang w:val="mn-MN"/>
              </w:rPr>
            </w:pPr>
            <w:r>
              <w:rPr>
                <w:rFonts w:eastAsia="仿宋"/>
                <w:b/>
                <w:bCs/>
                <w:sz w:val="24"/>
                <w:lang w:val="mn-MN"/>
              </w:rPr>
              <w:t>Тайлбар</w:t>
            </w:r>
          </w:p>
        </w:tc>
      </w:tr>
      <w:tr w14:paraId="263920B3">
        <w:tblPrEx>
          <w:tblCellMar>
            <w:top w:w="0" w:type="dxa"/>
            <w:left w:w="0" w:type="dxa"/>
            <w:bottom w:w="0" w:type="dxa"/>
            <w:right w:w="0" w:type="dxa"/>
          </w:tblCellMar>
        </w:tblPrEx>
        <w:trPr>
          <w:trHeight w:val="57" w:hRule="atLeast"/>
        </w:trPr>
        <w:tc>
          <w:tcPr>
            <w:tcW w:w="567" w:type="dxa"/>
            <w:tcBorders>
              <w:top w:val="nil"/>
              <w:left w:val="single" w:color="auto" w:sz="4" w:space="0"/>
              <w:bottom w:val="single" w:color="auto" w:sz="4" w:space="0"/>
              <w:right w:val="single" w:color="auto" w:sz="4" w:space="0"/>
            </w:tcBorders>
            <w:tcMar>
              <w:top w:w="19" w:type="dxa"/>
              <w:left w:w="19" w:type="dxa"/>
              <w:bottom w:w="0" w:type="dxa"/>
              <w:right w:w="19" w:type="dxa"/>
            </w:tcMar>
            <w:vAlign w:val="center"/>
          </w:tcPr>
          <w:p w14:paraId="405F13DE">
            <w:pPr>
              <w:widowControl/>
              <w:spacing w:after="0" w:line="240" w:lineRule="auto"/>
              <w:jc w:val="center"/>
              <w:rPr>
                <w:rFonts w:eastAsia="仿宋"/>
                <w:sz w:val="24"/>
              </w:rPr>
            </w:pPr>
            <w:r>
              <w:rPr>
                <w:rFonts w:hint="eastAsia" w:eastAsia="仿宋"/>
                <w:sz w:val="24"/>
              </w:rPr>
              <w:t>1</w:t>
            </w:r>
          </w:p>
        </w:tc>
        <w:tc>
          <w:tcPr>
            <w:tcW w:w="1862" w:type="dxa"/>
            <w:tcBorders>
              <w:top w:val="nil"/>
              <w:left w:val="nil"/>
              <w:bottom w:val="single" w:color="auto" w:sz="4" w:space="0"/>
              <w:right w:val="single" w:color="auto" w:sz="4" w:space="0"/>
            </w:tcBorders>
            <w:tcMar>
              <w:top w:w="19" w:type="dxa"/>
              <w:left w:w="19" w:type="dxa"/>
              <w:bottom w:w="0" w:type="dxa"/>
              <w:right w:w="19" w:type="dxa"/>
            </w:tcMar>
            <w:vAlign w:val="center"/>
          </w:tcPr>
          <w:p w14:paraId="79A18BB0">
            <w:pPr>
              <w:widowControl/>
              <w:spacing w:after="0" w:line="240" w:lineRule="auto"/>
              <w:jc w:val="center"/>
              <w:rPr>
                <w:rFonts w:eastAsia="仿宋"/>
                <w:sz w:val="24"/>
                <w:lang w:val="mn-MN"/>
              </w:rPr>
            </w:pPr>
            <w:r>
              <w:rPr>
                <w:rFonts w:eastAsia="仿宋"/>
                <w:sz w:val="24"/>
                <w:lang w:val="mn-MN"/>
              </w:rPr>
              <w:t xml:space="preserve">Тендер зарлах </w:t>
            </w:r>
          </w:p>
        </w:tc>
        <w:tc>
          <w:tcPr>
            <w:tcW w:w="2400" w:type="dxa"/>
            <w:tcBorders>
              <w:top w:val="nil"/>
              <w:left w:val="nil"/>
              <w:bottom w:val="single" w:color="auto" w:sz="4" w:space="0"/>
              <w:right w:val="single" w:color="auto" w:sz="4" w:space="0"/>
            </w:tcBorders>
            <w:tcMar>
              <w:top w:w="19" w:type="dxa"/>
              <w:left w:w="19" w:type="dxa"/>
              <w:bottom w:w="0" w:type="dxa"/>
              <w:right w:w="19" w:type="dxa"/>
            </w:tcMar>
            <w:vAlign w:val="center"/>
          </w:tcPr>
          <w:p w14:paraId="42A1C731">
            <w:pPr>
              <w:widowControl/>
              <w:spacing w:after="0" w:line="240" w:lineRule="auto"/>
              <w:jc w:val="center"/>
              <w:rPr>
                <w:rFonts w:hint="eastAsia" w:eastAsia="仿宋"/>
                <w:color w:val="auto"/>
                <w:sz w:val="24"/>
                <w:lang w:val="en-US" w:eastAsia="zh-CN"/>
              </w:rPr>
            </w:pPr>
            <w:r>
              <w:rPr>
                <w:rFonts w:hint="eastAsia" w:eastAsia="仿宋"/>
                <w:color w:val="auto"/>
                <w:sz w:val="24"/>
              </w:rPr>
              <w:t>202</w:t>
            </w:r>
            <w:r>
              <w:rPr>
                <w:rFonts w:hint="eastAsia" w:eastAsia="仿宋"/>
                <w:color w:val="auto"/>
                <w:sz w:val="24"/>
                <w:lang w:val="en-US" w:eastAsia="zh-CN"/>
              </w:rPr>
              <w:t>6</w:t>
            </w:r>
            <w:r>
              <w:rPr>
                <w:rFonts w:eastAsia="仿宋"/>
                <w:color w:val="auto"/>
                <w:sz w:val="24"/>
                <w:lang w:val="mn-MN"/>
              </w:rPr>
              <w:t xml:space="preserve"> оны</w:t>
            </w:r>
            <w:r>
              <w:rPr>
                <w:rFonts w:hint="eastAsia" w:eastAsia="仿宋"/>
                <w:color w:val="auto"/>
                <w:sz w:val="24"/>
                <w:lang w:val="en-US" w:eastAsia="zh-CN"/>
              </w:rPr>
              <w:t xml:space="preserve"> 2</w:t>
            </w:r>
            <w:r>
              <w:rPr>
                <w:rFonts w:eastAsia="仿宋"/>
                <w:color w:val="auto"/>
                <w:sz w:val="24"/>
                <w:lang w:val="mn-MN"/>
              </w:rPr>
              <w:t xml:space="preserve">сарын </w:t>
            </w:r>
            <w:r>
              <w:rPr>
                <w:rFonts w:hint="eastAsia" w:eastAsia="仿宋"/>
                <w:color w:val="auto"/>
                <w:sz w:val="24"/>
                <w:lang w:val="en-US" w:eastAsia="zh-CN"/>
              </w:rPr>
              <w:t xml:space="preserve">5- </w:t>
            </w:r>
          </w:p>
          <w:p w14:paraId="3CEC052C">
            <w:pPr>
              <w:widowControl/>
              <w:spacing w:after="0" w:line="240" w:lineRule="auto"/>
              <w:jc w:val="center"/>
              <w:rPr>
                <w:rFonts w:hint="default" w:eastAsia="仿宋"/>
                <w:color w:val="auto"/>
                <w:sz w:val="24"/>
                <w:lang w:val="en-US" w:eastAsia="zh-CN"/>
              </w:rPr>
            </w:pPr>
            <w:r>
              <w:rPr>
                <w:rFonts w:hint="eastAsia" w:eastAsia="仿宋"/>
                <w:color w:val="auto"/>
                <w:sz w:val="24"/>
                <w:lang w:val="en-US" w:eastAsia="zh-CN"/>
              </w:rPr>
              <w:t>2</w:t>
            </w:r>
            <w:r>
              <w:rPr>
                <w:rFonts w:eastAsia="仿宋"/>
                <w:color w:val="auto"/>
                <w:sz w:val="24"/>
                <w:lang w:val="mn-MN"/>
              </w:rPr>
              <w:t xml:space="preserve"> сарын </w:t>
            </w:r>
            <w:r>
              <w:rPr>
                <w:rFonts w:hint="eastAsia" w:eastAsia="仿宋"/>
                <w:color w:val="auto"/>
                <w:sz w:val="24"/>
                <w:lang w:val="en-US" w:eastAsia="zh-CN"/>
              </w:rPr>
              <w:t xml:space="preserve">10 </w:t>
            </w:r>
          </w:p>
        </w:tc>
        <w:tc>
          <w:tcPr>
            <w:tcW w:w="2546" w:type="dxa"/>
            <w:tcBorders>
              <w:top w:val="nil"/>
              <w:left w:val="nil"/>
              <w:bottom w:val="single" w:color="auto" w:sz="4" w:space="0"/>
              <w:right w:val="single" w:color="auto" w:sz="4" w:space="0"/>
            </w:tcBorders>
            <w:tcMar>
              <w:top w:w="19" w:type="dxa"/>
              <w:left w:w="19" w:type="dxa"/>
              <w:bottom w:w="0" w:type="dxa"/>
              <w:right w:w="19" w:type="dxa"/>
            </w:tcMar>
            <w:vAlign w:val="center"/>
          </w:tcPr>
          <w:p w14:paraId="7BC62E62">
            <w:pPr>
              <w:widowControl/>
              <w:spacing w:after="0" w:line="240" w:lineRule="auto"/>
              <w:jc w:val="center"/>
              <w:rPr>
                <w:rFonts w:eastAsia="仿宋"/>
                <w:sz w:val="24"/>
                <w:lang w:val="mn-MN"/>
              </w:rPr>
            </w:pPr>
            <w:r>
              <w:rPr>
                <w:rFonts w:hint="default" w:ascii="Times New Roman" w:hAnsi="Times New Roman" w:eastAsia="仿宋" w:cs="Times New Roman"/>
                <w:sz w:val="24"/>
                <w:lang w:val="mn-MN"/>
              </w:rPr>
              <w:t>Шинь Шинь компанийн тендерийн вебсайт</w:t>
            </w:r>
          </w:p>
        </w:tc>
        <w:tc>
          <w:tcPr>
            <w:tcW w:w="2075" w:type="dxa"/>
            <w:tcBorders>
              <w:top w:val="nil"/>
              <w:left w:val="nil"/>
              <w:bottom w:val="single" w:color="auto" w:sz="4" w:space="0"/>
              <w:right w:val="single" w:color="auto" w:sz="4" w:space="0"/>
            </w:tcBorders>
            <w:tcMar>
              <w:top w:w="19" w:type="dxa"/>
              <w:left w:w="19" w:type="dxa"/>
              <w:bottom w:w="0" w:type="dxa"/>
              <w:right w:w="19" w:type="dxa"/>
            </w:tcMar>
            <w:vAlign w:val="center"/>
          </w:tcPr>
          <w:p w14:paraId="4BD9678E">
            <w:pPr>
              <w:widowControl/>
              <w:spacing w:after="0" w:line="240" w:lineRule="auto"/>
              <w:jc w:val="center"/>
              <w:rPr>
                <w:rFonts w:eastAsia="仿宋"/>
                <w:sz w:val="24"/>
              </w:rPr>
            </w:pPr>
          </w:p>
        </w:tc>
      </w:tr>
      <w:tr w14:paraId="4D9C5380">
        <w:tblPrEx>
          <w:tblCellMar>
            <w:top w:w="0" w:type="dxa"/>
            <w:left w:w="0" w:type="dxa"/>
            <w:bottom w:w="0" w:type="dxa"/>
            <w:right w:w="0" w:type="dxa"/>
          </w:tblCellMar>
        </w:tblPrEx>
        <w:trPr>
          <w:trHeight w:val="57" w:hRule="atLeast"/>
        </w:trPr>
        <w:tc>
          <w:tcPr>
            <w:tcW w:w="567" w:type="dxa"/>
            <w:tcBorders>
              <w:top w:val="nil"/>
              <w:left w:val="single" w:color="auto" w:sz="4" w:space="0"/>
              <w:bottom w:val="single" w:color="auto" w:sz="4" w:space="0"/>
              <w:right w:val="single" w:color="auto" w:sz="4" w:space="0"/>
            </w:tcBorders>
            <w:tcMar>
              <w:top w:w="19" w:type="dxa"/>
              <w:left w:w="19" w:type="dxa"/>
              <w:bottom w:w="0" w:type="dxa"/>
              <w:right w:w="19" w:type="dxa"/>
            </w:tcMar>
            <w:vAlign w:val="center"/>
          </w:tcPr>
          <w:p w14:paraId="5413CDD5">
            <w:pPr>
              <w:widowControl/>
              <w:spacing w:after="0" w:line="240" w:lineRule="auto"/>
              <w:jc w:val="center"/>
              <w:rPr>
                <w:rFonts w:eastAsia="仿宋"/>
                <w:sz w:val="24"/>
              </w:rPr>
            </w:pPr>
            <w:r>
              <w:rPr>
                <w:rFonts w:hint="eastAsia" w:eastAsia="仿宋"/>
                <w:sz w:val="24"/>
              </w:rPr>
              <w:t>2</w:t>
            </w:r>
          </w:p>
        </w:tc>
        <w:tc>
          <w:tcPr>
            <w:tcW w:w="1862" w:type="dxa"/>
            <w:tcBorders>
              <w:top w:val="nil"/>
              <w:left w:val="nil"/>
              <w:bottom w:val="single" w:color="auto" w:sz="4" w:space="0"/>
              <w:right w:val="single" w:color="auto" w:sz="4" w:space="0"/>
            </w:tcBorders>
            <w:tcMar>
              <w:top w:w="19" w:type="dxa"/>
              <w:left w:w="19" w:type="dxa"/>
              <w:bottom w:w="0" w:type="dxa"/>
              <w:right w:w="19" w:type="dxa"/>
            </w:tcMar>
            <w:vAlign w:val="center"/>
          </w:tcPr>
          <w:p w14:paraId="3FEF0808">
            <w:pPr>
              <w:widowControl/>
              <w:spacing w:after="0" w:line="240" w:lineRule="auto"/>
              <w:jc w:val="center"/>
              <w:rPr>
                <w:rFonts w:eastAsia="仿宋"/>
                <w:sz w:val="24"/>
                <w:lang w:val="mn-MN"/>
              </w:rPr>
            </w:pPr>
            <w:r>
              <w:rPr>
                <w:rFonts w:eastAsia="仿宋"/>
                <w:sz w:val="24"/>
                <w:lang w:val="mn-MN"/>
              </w:rPr>
              <w:t>Тендерийн материал тараах</w:t>
            </w:r>
          </w:p>
        </w:tc>
        <w:tc>
          <w:tcPr>
            <w:tcW w:w="2400" w:type="dxa"/>
            <w:tcBorders>
              <w:top w:val="nil"/>
              <w:left w:val="nil"/>
              <w:bottom w:val="single" w:color="auto" w:sz="4" w:space="0"/>
              <w:right w:val="single" w:color="auto" w:sz="4" w:space="0"/>
            </w:tcBorders>
            <w:tcMar>
              <w:top w:w="19" w:type="dxa"/>
              <w:left w:w="19" w:type="dxa"/>
              <w:bottom w:w="0" w:type="dxa"/>
              <w:right w:w="19" w:type="dxa"/>
            </w:tcMar>
            <w:vAlign w:val="center"/>
          </w:tcPr>
          <w:p w14:paraId="65644F3B">
            <w:pPr>
              <w:widowControl/>
              <w:spacing w:after="0" w:line="240" w:lineRule="auto"/>
              <w:jc w:val="center"/>
              <w:rPr>
                <w:rFonts w:hint="eastAsia" w:eastAsia="仿宋"/>
                <w:color w:val="auto"/>
                <w:sz w:val="24"/>
                <w:lang w:val="en-US" w:eastAsia="zh-CN"/>
              </w:rPr>
            </w:pPr>
            <w:r>
              <w:rPr>
                <w:rFonts w:hint="eastAsia" w:eastAsia="仿宋"/>
                <w:color w:val="auto"/>
                <w:sz w:val="24"/>
              </w:rPr>
              <w:t>202</w:t>
            </w:r>
            <w:r>
              <w:rPr>
                <w:rFonts w:hint="eastAsia" w:eastAsia="仿宋"/>
                <w:color w:val="auto"/>
                <w:sz w:val="24"/>
                <w:lang w:val="en-US" w:eastAsia="zh-CN"/>
              </w:rPr>
              <w:t>6</w:t>
            </w:r>
            <w:r>
              <w:rPr>
                <w:rFonts w:eastAsia="仿宋"/>
                <w:color w:val="auto"/>
                <w:sz w:val="24"/>
                <w:lang w:val="mn-MN"/>
              </w:rPr>
              <w:t xml:space="preserve"> оны</w:t>
            </w:r>
            <w:r>
              <w:rPr>
                <w:rFonts w:hint="eastAsia" w:eastAsia="仿宋"/>
                <w:color w:val="auto"/>
                <w:sz w:val="24"/>
                <w:lang w:val="en-US" w:eastAsia="zh-CN"/>
              </w:rPr>
              <w:t xml:space="preserve"> 2</w:t>
            </w:r>
            <w:r>
              <w:rPr>
                <w:rFonts w:eastAsia="仿宋"/>
                <w:color w:val="auto"/>
                <w:sz w:val="24"/>
                <w:lang w:val="mn-MN"/>
              </w:rPr>
              <w:t xml:space="preserve">сарын </w:t>
            </w:r>
            <w:r>
              <w:rPr>
                <w:rFonts w:hint="eastAsia" w:eastAsia="仿宋"/>
                <w:color w:val="auto"/>
                <w:sz w:val="24"/>
                <w:lang w:val="en-US" w:eastAsia="zh-CN"/>
              </w:rPr>
              <w:t xml:space="preserve">5- </w:t>
            </w:r>
          </w:p>
          <w:p w14:paraId="64C94055">
            <w:pPr>
              <w:widowControl/>
              <w:spacing w:after="0" w:line="240" w:lineRule="auto"/>
              <w:jc w:val="center"/>
              <w:rPr>
                <w:rFonts w:hint="default" w:eastAsia="仿宋"/>
                <w:color w:val="auto"/>
                <w:sz w:val="24"/>
                <w:lang w:val="en-US" w:eastAsia="zh-CN"/>
              </w:rPr>
            </w:pPr>
            <w:r>
              <w:rPr>
                <w:rFonts w:hint="eastAsia" w:eastAsia="仿宋"/>
                <w:color w:val="auto"/>
                <w:sz w:val="24"/>
                <w:lang w:val="en-US" w:eastAsia="zh-CN"/>
              </w:rPr>
              <w:t>2</w:t>
            </w:r>
            <w:r>
              <w:rPr>
                <w:rFonts w:eastAsia="仿宋"/>
                <w:color w:val="auto"/>
                <w:sz w:val="24"/>
                <w:lang w:val="mn-MN"/>
              </w:rPr>
              <w:t xml:space="preserve"> сарын </w:t>
            </w:r>
            <w:r>
              <w:rPr>
                <w:rFonts w:hint="eastAsia" w:eastAsia="仿宋"/>
                <w:color w:val="auto"/>
                <w:sz w:val="24"/>
                <w:lang w:val="en-US" w:eastAsia="zh-CN"/>
              </w:rPr>
              <w:t xml:space="preserve">10 </w:t>
            </w:r>
          </w:p>
        </w:tc>
        <w:tc>
          <w:tcPr>
            <w:tcW w:w="2546" w:type="dxa"/>
            <w:tcBorders>
              <w:top w:val="nil"/>
              <w:left w:val="nil"/>
              <w:bottom w:val="single" w:color="auto" w:sz="4" w:space="0"/>
              <w:right w:val="single" w:color="auto" w:sz="4" w:space="0"/>
            </w:tcBorders>
            <w:tcMar>
              <w:top w:w="19" w:type="dxa"/>
              <w:left w:w="19" w:type="dxa"/>
              <w:bottom w:w="0" w:type="dxa"/>
              <w:right w:w="19" w:type="dxa"/>
            </w:tcMar>
            <w:vAlign w:val="center"/>
          </w:tcPr>
          <w:p w14:paraId="6EF032AC">
            <w:pPr>
              <w:widowControl/>
              <w:spacing w:after="0" w:line="240" w:lineRule="auto"/>
              <w:jc w:val="center"/>
              <w:rPr>
                <w:rFonts w:eastAsia="仿宋"/>
                <w:sz w:val="24"/>
                <w:lang w:val="mn-MN"/>
              </w:rPr>
            </w:pPr>
            <w:r>
              <w:rPr>
                <w:rFonts w:eastAsia="仿宋"/>
                <w:sz w:val="24"/>
                <w:lang w:val="mn-MN"/>
              </w:rPr>
              <w:t xml:space="preserve">Шинь Шинь ХХК-ний Чойбалсан төлөөлөгчийн газар </w:t>
            </w:r>
          </w:p>
        </w:tc>
        <w:tc>
          <w:tcPr>
            <w:tcW w:w="2075" w:type="dxa"/>
            <w:tcBorders>
              <w:top w:val="nil"/>
              <w:left w:val="nil"/>
              <w:bottom w:val="single" w:color="auto" w:sz="4" w:space="0"/>
              <w:right w:val="single" w:color="auto" w:sz="4" w:space="0"/>
            </w:tcBorders>
            <w:tcMar>
              <w:top w:w="19" w:type="dxa"/>
              <w:left w:w="19" w:type="dxa"/>
              <w:bottom w:w="0" w:type="dxa"/>
              <w:right w:w="19" w:type="dxa"/>
            </w:tcMar>
            <w:vAlign w:val="center"/>
          </w:tcPr>
          <w:p w14:paraId="468179A3">
            <w:pPr>
              <w:widowControl/>
              <w:spacing w:after="0" w:line="240" w:lineRule="auto"/>
              <w:jc w:val="center"/>
              <w:rPr>
                <w:rFonts w:eastAsia="仿宋"/>
                <w:sz w:val="24"/>
              </w:rPr>
            </w:pPr>
          </w:p>
        </w:tc>
      </w:tr>
      <w:tr w14:paraId="4DB3F69D">
        <w:tblPrEx>
          <w:tblCellMar>
            <w:top w:w="0" w:type="dxa"/>
            <w:left w:w="0" w:type="dxa"/>
            <w:bottom w:w="0" w:type="dxa"/>
            <w:right w:w="0" w:type="dxa"/>
          </w:tblCellMar>
        </w:tblPrEx>
        <w:trPr>
          <w:trHeight w:val="57" w:hRule="atLeast"/>
        </w:trPr>
        <w:tc>
          <w:tcPr>
            <w:tcW w:w="567" w:type="dxa"/>
            <w:tcBorders>
              <w:top w:val="nil"/>
              <w:left w:val="single" w:color="auto" w:sz="4" w:space="0"/>
              <w:bottom w:val="single" w:color="auto" w:sz="4" w:space="0"/>
              <w:right w:val="single" w:color="auto" w:sz="4" w:space="0"/>
            </w:tcBorders>
            <w:tcMar>
              <w:top w:w="19" w:type="dxa"/>
              <w:left w:w="19" w:type="dxa"/>
              <w:bottom w:w="0" w:type="dxa"/>
              <w:right w:w="19" w:type="dxa"/>
            </w:tcMar>
            <w:vAlign w:val="center"/>
          </w:tcPr>
          <w:p w14:paraId="0BBF1051">
            <w:pPr>
              <w:widowControl/>
              <w:spacing w:after="0" w:line="240" w:lineRule="auto"/>
              <w:jc w:val="center"/>
              <w:rPr>
                <w:rFonts w:hint="eastAsia" w:eastAsia="仿宋"/>
                <w:sz w:val="24"/>
                <w:lang w:eastAsia="zh-CN"/>
              </w:rPr>
            </w:pPr>
            <w:r>
              <w:rPr>
                <w:rFonts w:hint="eastAsia" w:eastAsia="仿宋"/>
                <w:sz w:val="24"/>
                <w:lang w:val="en-US" w:eastAsia="zh-CN"/>
              </w:rPr>
              <w:t>3</w:t>
            </w:r>
          </w:p>
        </w:tc>
        <w:tc>
          <w:tcPr>
            <w:tcW w:w="1862" w:type="dxa"/>
            <w:tcBorders>
              <w:top w:val="nil"/>
              <w:left w:val="nil"/>
              <w:bottom w:val="single" w:color="auto" w:sz="4" w:space="0"/>
              <w:right w:val="single" w:color="auto" w:sz="4" w:space="0"/>
            </w:tcBorders>
            <w:tcMar>
              <w:top w:w="19" w:type="dxa"/>
              <w:left w:w="19" w:type="dxa"/>
              <w:bottom w:w="0" w:type="dxa"/>
              <w:right w:w="19" w:type="dxa"/>
            </w:tcMar>
            <w:vAlign w:val="center"/>
          </w:tcPr>
          <w:p w14:paraId="4048804A">
            <w:pPr>
              <w:widowControl/>
              <w:spacing w:after="0" w:line="240" w:lineRule="auto"/>
              <w:jc w:val="center"/>
              <w:rPr>
                <w:rFonts w:eastAsia="仿宋"/>
                <w:sz w:val="24"/>
                <w:lang w:val="mn-MN"/>
              </w:rPr>
            </w:pPr>
            <w:r>
              <w:rPr>
                <w:rFonts w:eastAsia="仿宋"/>
                <w:sz w:val="24"/>
                <w:lang w:val="mn-MN"/>
              </w:rPr>
              <w:t xml:space="preserve">Асуулт </w:t>
            </w:r>
            <w:r>
              <w:rPr>
                <w:rFonts w:hint="eastAsia" w:eastAsia="仿宋"/>
                <w:sz w:val="24"/>
                <w:lang w:val="mn-MN"/>
              </w:rPr>
              <w:t>（</w:t>
            </w:r>
            <w:r>
              <w:rPr>
                <w:rFonts w:eastAsia="仿宋"/>
                <w:sz w:val="24"/>
                <w:lang w:val="mn-MN"/>
              </w:rPr>
              <w:t xml:space="preserve">Цахимаар илгээх </w:t>
            </w:r>
            <w:r>
              <w:rPr>
                <w:rFonts w:hint="eastAsia" w:eastAsia="仿宋"/>
                <w:sz w:val="24"/>
                <w:lang w:val="mn-MN"/>
              </w:rPr>
              <w:t>）</w:t>
            </w:r>
          </w:p>
        </w:tc>
        <w:tc>
          <w:tcPr>
            <w:tcW w:w="2400" w:type="dxa"/>
            <w:tcBorders>
              <w:top w:val="nil"/>
              <w:left w:val="nil"/>
              <w:bottom w:val="single" w:color="auto" w:sz="4" w:space="0"/>
              <w:right w:val="single" w:color="auto" w:sz="4" w:space="0"/>
            </w:tcBorders>
            <w:tcMar>
              <w:top w:w="19" w:type="dxa"/>
              <w:left w:w="19" w:type="dxa"/>
              <w:bottom w:w="0" w:type="dxa"/>
              <w:right w:w="19" w:type="dxa"/>
            </w:tcMar>
            <w:vAlign w:val="center"/>
          </w:tcPr>
          <w:p w14:paraId="773514D0">
            <w:pPr>
              <w:widowControl/>
              <w:spacing w:after="0" w:line="240" w:lineRule="auto"/>
              <w:jc w:val="center"/>
              <w:rPr>
                <w:rFonts w:hint="default" w:eastAsia="仿宋"/>
                <w:color w:val="auto"/>
                <w:sz w:val="24"/>
                <w:lang w:val="en-US" w:eastAsia="zh-CN"/>
              </w:rPr>
            </w:pPr>
          </w:p>
        </w:tc>
        <w:tc>
          <w:tcPr>
            <w:tcW w:w="2546" w:type="dxa"/>
            <w:tcBorders>
              <w:top w:val="nil"/>
              <w:left w:val="nil"/>
              <w:bottom w:val="single" w:color="auto" w:sz="4" w:space="0"/>
              <w:right w:val="single" w:color="auto" w:sz="4" w:space="0"/>
            </w:tcBorders>
            <w:tcMar>
              <w:top w:w="19" w:type="dxa"/>
              <w:left w:w="19" w:type="dxa"/>
              <w:bottom w:w="0" w:type="dxa"/>
              <w:right w:w="19" w:type="dxa"/>
            </w:tcMar>
            <w:vAlign w:val="center"/>
          </w:tcPr>
          <w:p w14:paraId="45AF0709">
            <w:pPr>
              <w:widowControl/>
              <w:spacing w:after="0" w:line="240" w:lineRule="auto"/>
              <w:jc w:val="center"/>
              <w:rPr>
                <w:rFonts w:eastAsia="仿宋"/>
                <w:sz w:val="24"/>
              </w:rPr>
            </w:pPr>
            <w:r>
              <w:rPr>
                <w:color w:val="auto"/>
              </w:rPr>
              <w:fldChar w:fldCharType="begin"/>
            </w:r>
            <w:r>
              <w:rPr>
                <w:color w:val="auto"/>
              </w:rPr>
              <w:instrText xml:space="preserve"> HYPERLINK "mailto:xxkbj@xxkbid.com" </w:instrText>
            </w:r>
            <w:r>
              <w:rPr>
                <w:color w:val="auto"/>
              </w:rPr>
              <w:fldChar w:fldCharType="separate"/>
            </w:r>
            <w:r>
              <w:rPr>
                <w:rStyle w:val="23"/>
                <w:rFonts w:hint="eastAsia" w:ascii="仿宋" w:hAnsi="仿宋" w:eastAsia="仿宋" w:cs="仿宋"/>
                <w:color w:val="auto"/>
                <w:spacing w:val="-2"/>
                <w:sz w:val="28"/>
                <w:szCs w:val="28"/>
              </w:rPr>
              <w:t>xxkbj@xxkbid.com</w:t>
            </w:r>
            <w:r>
              <w:rPr>
                <w:rStyle w:val="23"/>
                <w:rFonts w:hint="eastAsia" w:ascii="仿宋" w:hAnsi="仿宋" w:eastAsia="仿宋" w:cs="仿宋"/>
                <w:color w:val="auto"/>
                <w:spacing w:val="-2"/>
                <w:sz w:val="28"/>
                <w:szCs w:val="28"/>
              </w:rPr>
              <w:fldChar w:fldCharType="end"/>
            </w:r>
          </w:p>
        </w:tc>
        <w:tc>
          <w:tcPr>
            <w:tcW w:w="2075" w:type="dxa"/>
            <w:tcBorders>
              <w:top w:val="nil"/>
              <w:left w:val="nil"/>
              <w:bottom w:val="single" w:color="auto" w:sz="4" w:space="0"/>
              <w:right w:val="single" w:color="auto" w:sz="4" w:space="0"/>
            </w:tcBorders>
            <w:tcMar>
              <w:top w:w="19" w:type="dxa"/>
              <w:left w:w="19" w:type="dxa"/>
              <w:bottom w:w="0" w:type="dxa"/>
              <w:right w:w="19" w:type="dxa"/>
            </w:tcMar>
            <w:vAlign w:val="center"/>
          </w:tcPr>
          <w:p w14:paraId="0C23BE6C">
            <w:pPr>
              <w:widowControl/>
              <w:spacing w:after="0" w:line="240" w:lineRule="auto"/>
              <w:jc w:val="center"/>
              <w:rPr>
                <w:rFonts w:eastAsia="仿宋"/>
                <w:sz w:val="24"/>
                <w:lang w:val="mn-MN"/>
              </w:rPr>
            </w:pPr>
            <w:r>
              <w:rPr>
                <w:rFonts w:eastAsia="仿宋"/>
                <w:sz w:val="24"/>
                <w:lang w:val="mn-MN"/>
              </w:rPr>
              <w:t xml:space="preserve">И-мэйл хаягаар илгээх </w:t>
            </w:r>
          </w:p>
        </w:tc>
      </w:tr>
      <w:tr w14:paraId="7C745619">
        <w:tblPrEx>
          <w:tblCellMar>
            <w:top w:w="0" w:type="dxa"/>
            <w:left w:w="0" w:type="dxa"/>
            <w:bottom w:w="0" w:type="dxa"/>
            <w:right w:w="0" w:type="dxa"/>
          </w:tblCellMar>
        </w:tblPrEx>
        <w:trPr>
          <w:trHeight w:val="57" w:hRule="atLeast"/>
        </w:trPr>
        <w:tc>
          <w:tcPr>
            <w:tcW w:w="567" w:type="dxa"/>
            <w:tcBorders>
              <w:top w:val="nil"/>
              <w:left w:val="single" w:color="auto" w:sz="4" w:space="0"/>
              <w:bottom w:val="single" w:color="auto" w:sz="4" w:space="0"/>
              <w:right w:val="single" w:color="auto" w:sz="4" w:space="0"/>
            </w:tcBorders>
            <w:tcMar>
              <w:top w:w="19" w:type="dxa"/>
              <w:left w:w="19" w:type="dxa"/>
              <w:bottom w:w="0" w:type="dxa"/>
              <w:right w:w="19" w:type="dxa"/>
            </w:tcMar>
            <w:vAlign w:val="center"/>
          </w:tcPr>
          <w:p w14:paraId="71FB657B">
            <w:pPr>
              <w:widowControl/>
              <w:spacing w:after="0" w:line="240" w:lineRule="auto"/>
              <w:jc w:val="center"/>
              <w:rPr>
                <w:rFonts w:hint="eastAsia" w:eastAsia="仿宋"/>
                <w:sz w:val="24"/>
                <w:lang w:eastAsia="zh-CN"/>
              </w:rPr>
            </w:pPr>
            <w:r>
              <w:rPr>
                <w:rFonts w:hint="eastAsia" w:eastAsia="仿宋"/>
                <w:sz w:val="24"/>
                <w:lang w:val="en-US" w:eastAsia="zh-CN"/>
              </w:rPr>
              <w:t>4</w:t>
            </w:r>
          </w:p>
        </w:tc>
        <w:tc>
          <w:tcPr>
            <w:tcW w:w="1862" w:type="dxa"/>
            <w:tcBorders>
              <w:top w:val="nil"/>
              <w:left w:val="nil"/>
              <w:bottom w:val="single" w:color="auto" w:sz="4" w:space="0"/>
              <w:right w:val="single" w:color="auto" w:sz="4" w:space="0"/>
            </w:tcBorders>
            <w:tcMar>
              <w:top w:w="19" w:type="dxa"/>
              <w:left w:w="19" w:type="dxa"/>
              <w:bottom w:w="0" w:type="dxa"/>
              <w:right w:w="19" w:type="dxa"/>
            </w:tcMar>
            <w:vAlign w:val="center"/>
          </w:tcPr>
          <w:p w14:paraId="6C7C1856">
            <w:pPr>
              <w:widowControl/>
              <w:spacing w:after="0" w:line="240" w:lineRule="auto"/>
              <w:jc w:val="center"/>
              <w:rPr>
                <w:rFonts w:eastAsia="仿宋"/>
                <w:sz w:val="24"/>
                <w:lang w:val="mn-MN"/>
              </w:rPr>
            </w:pPr>
            <w:r>
              <w:rPr>
                <w:rFonts w:eastAsia="仿宋"/>
                <w:sz w:val="24"/>
                <w:lang w:val="mn-MN"/>
              </w:rPr>
              <w:t xml:space="preserve">Тендерийн асуулт хариулт </w:t>
            </w:r>
            <w:r>
              <w:rPr>
                <w:rFonts w:hint="eastAsia" w:eastAsia="仿宋"/>
                <w:sz w:val="24"/>
                <w:lang w:val="mn-MN"/>
              </w:rPr>
              <w:t>（</w:t>
            </w:r>
            <w:r>
              <w:rPr>
                <w:rFonts w:eastAsia="仿宋"/>
                <w:sz w:val="24"/>
                <w:lang w:val="mn-MN"/>
              </w:rPr>
              <w:t xml:space="preserve">Цахимаар </w:t>
            </w:r>
            <w:r>
              <w:rPr>
                <w:rFonts w:hint="eastAsia" w:eastAsia="仿宋"/>
                <w:sz w:val="24"/>
                <w:lang w:val="mn-MN"/>
              </w:rPr>
              <w:t>）</w:t>
            </w:r>
          </w:p>
        </w:tc>
        <w:tc>
          <w:tcPr>
            <w:tcW w:w="2400" w:type="dxa"/>
            <w:tcBorders>
              <w:top w:val="nil"/>
              <w:left w:val="nil"/>
              <w:bottom w:val="single" w:color="auto" w:sz="4" w:space="0"/>
              <w:right w:val="single" w:color="auto" w:sz="4" w:space="0"/>
            </w:tcBorders>
            <w:tcMar>
              <w:top w:w="19" w:type="dxa"/>
              <w:left w:w="19" w:type="dxa"/>
              <w:bottom w:w="0" w:type="dxa"/>
              <w:right w:w="19" w:type="dxa"/>
            </w:tcMar>
            <w:vAlign w:val="center"/>
          </w:tcPr>
          <w:p w14:paraId="5BDB191E">
            <w:pPr>
              <w:widowControl/>
              <w:spacing w:after="0" w:line="240" w:lineRule="auto"/>
              <w:jc w:val="center"/>
              <w:rPr>
                <w:rFonts w:hint="default" w:eastAsia="仿宋"/>
                <w:color w:val="auto"/>
                <w:sz w:val="24"/>
                <w:lang w:val="en-US" w:eastAsia="zh-CN"/>
              </w:rPr>
            </w:pPr>
            <w:r>
              <w:rPr>
                <w:rFonts w:hint="eastAsia" w:eastAsia="仿宋"/>
                <w:color w:val="auto"/>
                <w:sz w:val="24"/>
              </w:rPr>
              <w:t>202</w:t>
            </w:r>
            <w:r>
              <w:rPr>
                <w:rFonts w:hint="eastAsia" w:eastAsia="仿宋"/>
                <w:color w:val="auto"/>
                <w:sz w:val="24"/>
                <w:lang w:val="en-US" w:eastAsia="zh-CN"/>
              </w:rPr>
              <w:t>6</w:t>
            </w:r>
            <w:r>
              <w:rPr>
                <w:rFonts w:hint="eastAsia" w:eastAsia="仿宋"/>
                <w:color w:val="auto"/>
                <w:sz w:val="24"/>
              </w:rPr>
              <w:t xml:space="preserve"> </w:t>
            </w:r>
            <w:r>
              <w:rPr>
                <w:rFonts w:eastAsia="仿宋"/>
                <w:color w:val="auto"/>
                <w:sz w:val="24"/>
                <w:lang w:val="mn-MN"/>
              </w:rPr>
              <w:t xml:space="preserve">он </w:t>
            </w:r>
            <w:r>
              <w:rPr>
                <w:rFonts w:hint="eastAsia" w:eastAsia="仿宋"/>
                <w:color w:val="auto"/>
                <w:sz w:val="24"/>
                <w:lang w:val="en-US" w:eastAsia="zh-CN"/>
              </w:rPr>
              <w:t>2</w:t>
            </w:r>
            <w:r>
              <w:rPr>
                <w:rFonts w:eastAsia="仿宋"/>
                <w:color w:val="auto"/>
                <w:sz w:val="24"/>
                <w:lang w:val="mn-MN"/>
              </w:rPr>
              <w:t xml:space="preserve"> сар</w:t>
            </w:r>
            <w:r>
              <w:rPr>
                <w:rFonts w:eastAsia="仿宋"/>
                <w:color w:val="auto"/>
                <w:sz w:val="24"/>
                <w:cs/>
                <w:lang w:val="mn-MN"/>
              </w:rPr>
              <w:t>ын</w:t>
            </w:r>
            <w:r>
              <w:rPr>
                <w:rFonts w:hint="default" w:eastAsia="仿宋"/>
                <w:color w:val="auto"/>
                <w:sz w:val="24"/>
                <w:cs/>
                <w:lang w:val="mn-MN"/>
              </w:rPr>
              <w:t xml:space="preserve"> </w:t>
            </w:r>
            <w:r>
              <w:rPr>
                <w:rFonts w:hint="eastAsia" w:eastAsia="仿宋"/>
                <w:color w:val="auto"/>
                <w:sz w:val="24"/>
                <w:lang w:val="en-US" w:eastAsia="zh-CN"/>
              </w:rPr>
              <w:t>21</w:t>
            </w:r>
            <w:r>
              <w:rPr>
                <w:rFonts w:hint="default" w:eastAsia="仿宋"/>
                <w:color w:val="auto"/>
                <w:sz w:val="24"/>
                <w:cs/>
                <w:lang w:val="mn-MN" w:eastAsia="zh-CN"/>
              </w:rPr>
              <w:t>ны өмнө</w:t>
            </w:r>
            <w:r>
              <w:rPr>
                <w:rFonts w:eastAsia="仿宋"/>
                <w:color w:val="auto"/>
                <w:sz w:val="24"/>
                <w:lang w:val="mn-MN"/>
              </w:rPr>
              <w:t xml:space="preserve"> </w:t>
            </w:r>
          </w:p>
        </w:tc>
        <w:tc>
          <w:tcPr>
            <w:tcW w:w="2546" w:type="dxa"/>
            <w:tcBorders>
              <w:top w:val="nil"/>
              <w:left w:val="nil"/>
              <w:bottom w:val="single" w:color="auto" w:sz="4" w:space="0"/>
              <w:right w:val="single" w:color="auto" w:sz="4" w:space="0"/>
            </w:tcBorders>
            <w:tcMar>
              <w:top w:w="19" w:type="dxa"/>
              <w:left w:w="19" w:type="dxa"/>
              <w:bottom w:w="0" w:type="dxa"/>
              <w:right w:w="19" w:type="dxa"/>
            </w:tcMar>
            <w:vAlign w:val="center"/>
          </w:tcPr>
          <w:p w14:paraId="59AC86CF">
            <w:pPr>
              <w:widowControl/>
              <w:spacing w:after="0" w:line="240" w:lineRule="auto"/>
              <w:jc w:val="center"/>
              <w:rPr>
                <w:rFonts w:eastAsia="仿宋"/>
                <w:sz w:val="24"/>
              </w:rPr>
            </w:pPr>
            <w:r>
              <w:rPr>
                <w:rFonts w:hint="eastAsia" w:eastAsia="仿宋"/>
                <w:sz w:val="24"/>
              </w:rPr>
              <w:t xml:space="preserve"> </w:t>
            </w:r>
            <w:r>
              <w:rPr>
                <w:color w:val="auto"/>
              </w:rPr>
              <w:fldChar w:fldCharType="begin"/>
            </w:r>
            <w:r>
              <w:rPr>
                <w:color w:val="auto"/>
              </w:rPr>
              <w:instrText xml:space="preserve"> HYPERLINK "mailto:xxkbj@xxkbid.com" </w:instrText>
            </w:r>
            <w:r>
              <w:rPr>
                <w:color w:val="auto"/>
              </w:rPr>
              <w:fldChar w:fldCharType="separate"/>
            </w:r>
            <w:r>
              <w:rPr>
                <w:rStyle w:val="23"/>
                <w:rFonts w:hint="eastAsia" w:ascii="仿宋" w:hAnsi="仿宋" w:eastAsia="仿宋" w:cs="仿宋"/>
                <w:color w:val="auto"/>
                <w:spacing w:val="-2"/>
                <w:sz w:val="28"/>
                <w:szCs w:val="28"/>
              </w:rPr>
              <w:t>xxkbj@xxkbid.com</w:t>
            </w:r>
            <w:r>
              <w:rPr>
                <w:rStyle w:val="23"/>
                <w:rFonts w:hint="eastAsia" w:ascii="仿宋" w:hAnsi="仿宋" w:eastAsia="仿宋" w:cs="仿宋"/>
                <w:color w:val="auto"/>
                <w:spacing w:val="-2"/>
                <w:sz w:val="28"/>
                <w:szCs w:val="28"/>
              </w:rPr>
              <w:fldChar w:fldCharType="end"/>
            </w:r>
          </w:p>
        </w:tc>
        <w:tc>
          <w:tcPr>
            <w:tcW w:w="2075" w:type="dxa"/>
            <w:tcBorders>
              <w:top w:val="nil"/>
              <w:left w:val="nil"/>
              <w:bottom w:val="single" w:color="auto" w:sz="4" w:space="0"/>
              <w:right w:val="single" w:color="auto" w:sz="4" w:space="0"/>
            </w:tcBorders>
            <w:tcMar>
              <w:top w:w="19" w:type="dxa"/>
              <w:left w:w="19" w:type="dxa"/>
              <w:bottom w:w="0" w:type="dxa"/>
              <w:right w:w="19" w:type="dxa"/>
            </w:tcMar>
            <w:vAlign w:val="center"/>
          </w:tcPr>
          <w:p w14:paraId="546BC3F6">
            <w:pPr>
              <w:widowControl/>
              <w:spacing w:after="0" w:line="240" w:lineRule="auto"/>
              <w:jc w:val="center"/>
              <w:rPr>
                <w:rFonts w:eastAsia="仿宋"/>
                <w:sz w:val="24"/>
              </w:rPr>
            </w:pPr>
            <w:r>
              <w:rPr>
                <w:rFonts w:hint="eastAsia" w:eastAsia="仿宋"/>
                <w:sz w:val="24"/>
              </w:rPr>
              <w:t>　</w:t>
            </w:r>
          </w:p>
        </w:tc>
      </w:tr>
      <w:tr w14:paraId="65297312">
        <w:tblPrEx>
          <w:tblCellMar>
            <w:top w:w="0" w:type="dxa"/>
            <w:left w:w="0" w:type="dxa"/>
            <w:bottom w:w="0" w:type="dxa"/>
            <w:right w:w="0" w:type="dxa"/>
          </w:tblCellMar>
        </w:tblPrEx>
        <w:trPr>
          <w:trHeight w:val="57" w:hRule="atLeast"/>
        </w:trPr>
        <w:tc>
          <w:tcPr>
            <w:tcW w:w="567" w:type="dxa"/>
            <w:tcBorders>
              <w:top w:val="nil"/>
              <w:left w:val="single" w:color="auto" w:sz="4" w:space="0"/>
              <w:bottom w:val="single" w:color="auto" w:sz="4" w:space="0"/>
              <w:right w:val="single" w:color="auto" w:sz="4" w:space="0"/>
            </w:tcBorders>
            <w:tcMar>
              <w:top w:w="19" w:type="dxa"/>
              <w:left w:w="19" w:type="dxa"/>
              <w:bottom w:w="0" w:type="dxa"/>
              <w:right w:w="19" w:type="dxa"/>
            </w:tcMar>
            <w:vAlign w:val="center"/>
          </w:tcPr>
          <w:p w14:paraId="506E9DFE">
            <w:pPr>
              <w:widowControl/>
              <w:spacing w:after="0" w:line="240" w:lineRule="auto"/>
              <w:jc w:val="center"/>
              <w:rPr>
                <w:rFonts w:hint="eastAsia" w:eastAsia="仿宋"/>
                <w:sz w:val="24"/>
                <w:lang w:eastAsia="zh-CN"/>
              </w:rPr>
            </w:pPr>
            <w:r>
              <w:rPr>
                <w:rFonts w:hint="eastAsia" w:eastAsia="仿宋"/>
                <w:sz w:val="24"/>
                <w:lang w:val="en-US" w:eastAsia="zh-CN"/>
              </w:rPr>
              <w:t>5</w:t>
            </w:r>
          </w:p>
        </w:tc>
        <w:tc>
          <w:tcPr>
            <w:tcW w:w="1862" w:type="dxa"/>
            <w:tcBorders>
              <w:top w:val="nil"/>
              <w:left w:val="nil"/>
              <w:bottom w:val="single" w:color="auto" w:sz="4" w:space="0"/>
              <w:right w:val="single" w:color="auto" w:sz="4" w:space="0"/>
            </w:tcBorders>
            <w:tcMar>
              <w:top w:w="19" w:type="dxa"/>
              <w:left w:w="19" w:type="dxa"/>
              <w:bottom w:w="0" w:type="dxa"/>
              <w:right w:w="19" w:type="dxa"/>
            </w:tcMar>
            <w:vAlign w:val="center"/>
          </w:tcPr>
          <w:p w14:paraId="164961CC">
            <w:pPr>
              <w:widowControl/>
              <w:spacing w:after="0" w:line="240" w:lineRule="auto"/>
              <w:jc w:val="center"/>
              <w:rPr>
                <w:rFonts w:eastAsia="仿宋"/>
                <w:sz w:val="24"/>
                <w:lang w:val="mn-MN"/>
              </w:rPr>
            </w:pPr>
            <w:r>
              <w:rPr>
                <w:rFonts w:eastAsia="仿宋"/>
                <w:sz w:val="24"/>
                <w:lang w:val="mn-MN"/>
              </w:rPr>
              <w:t>Тендерийн материал хүлээн авах эцсийн хугацаа болон газар</w:t>
            </w:r>
          </w:p>
        </w:tc>
        <w:tc>
          <w:tcPr>
            <w:tcW w:w="2400" w:type="dxa"/>
            <w:tcBorders>
              <w:top w:val="nil"/>
              <w:left w:val="nil"/>
              <w:bottom w:val="single" w:color="auto" w:sz="4" w:space="0"/>
              <w:right w:val="single" w:color="auto" w:sz="4" w:space="0"/>
            </w:tcBorders>
            <w:tcMar>
              <w:top w:w="19" w:type="dxa"/>
              <w:left w:w="19" w:type="dxa"/>
              <w:bottom w:w="0" w:type="dxa"/>
              <w:right w:w="19" w:type="dxa"/>
            </w:tcMar>
            <w:vAlign w:val="center"/>
          </w:tcPr>
          <w:p w14:paraId="1F30288B">
            <w:pPr>
              <w:widowControl/>
              <w:spacing w:after="0" w:line="240" w:lineRule="auto"/>
              <w:jc w:val="center"/>
              <w:rPr>
                <w:rFonts w:hint="default" w:eastAsia="仿宋"/>
                <w:color w:val="auto"/>
                <w:sz w:val="24"/>
                <w:lang w:val="mn-MN"/>
              </w:rPr>
            </w:pPr>
            <w:r>
              <w:rPr>
                <w:rFonts w:hint="eastAsia" w:eastAsia="仿宋"/>
                <w:color w:val="auto"/>
                <w:sz w:val="24"/>
              </w:rPr>
              <w:t>202</w:t>
            </w:r>
            <w:r>
              <w:rPr>
                <w:rFonts w:hint="eastAsia" w:eastAsia="仿宋"/>
                <w:color w:val="auto"/>
                <w:sz w:val="24"/>
                <w:lang w:val="en-US" w:eastAsia="zh-CN"/>
              </w:rPr>
              <w:t>6</w:t>
            </w:r>
            <w:r>
              <w:rPr>
                <w:rFonts w:eastAsia="仿宋"/>
                <w:color w:val="auto"/>
                <w:sz w:val="24"/>
                <w:lang w:val="mn-MN"/>
              </w:rPr>
              <w:t>он</w:t>
            </w:r>
            <w:r>
              <w:rPr>
                <w:rFonts w:hint="eastAsia" w:eastAsia="仿宋"/>
                <w:color w:val="auto"/>
                <w:sz w:val="24"/>
                <w:lang w:val="en-US" w:eastAsia="zh-CN"/>
              </w:rPr>
              <w:t xml:space="preserve"> 2</w:t>
            </w:r>
            <w:r>
              <w:rPr>
                <w:rFonts w:eastAsia="仿宋"/>
                <w:color w:val="auto"/>
                <w:sz w:val="24"/>
                <w:lang w:val="mn-MN"/>
              </w:rPr>
              <w:t>сар</w:t>
            </w:r>
            <w:r>
              <w:rPr>
                <w:rFonts w:eastAsia="仿宋"/>
                <w:color w:val="auto"/>
                <w:sz w:val="24"/>
                <w:cs/>
                <w:lang w:val="mn-MN"/>
              </w:rPr>
              <w:t>ын</w:t>
            </w:r>
            <w:r>
              <w:rPr>
                <w:rFonts w:eastAsia="仿宋"/>
                <w:color w:val="auto"/>
                <w:sz w:val="24"/>
                <w:lang w:val="mn-MN"/>
              </w:rPr>
              <w:t xml:space="preserve"> </w:t>
            </w:r>
            <w:r>
              <w:rPr>
                <w:rFonts w:hint="eastAsia" w:eastAsia="仿宋"/>
                <w:color w:val="auto"/>
                <w:sz w:val="24"/>
                <w:lang w:val="en-US" w:eastAsia="zh-CN"/>
              </w:rPr>
              <w:t>22</w:t>
            </w:r>
            <w:r>
              <w:rPr>
                <w:rFonts w:hint="default" w:eastAsia="仿宋"/>
                <w:color w:val="auto"/>
                <w:sz w:val="24"/>
                <w:cs/>
                <w:lang w:val="mn-MN" w:eastAsia="zh-CN"/>
              </w:rPr>
              <w:t>ны өмнө</w:t>
            </w:r>
          </w:p>
          <w:p w14:paraId="03E4BDB1">
            <w:pPr>
              <w:widowControl/>
              <w:spacing w:after="0" w:line="240" w:lineRule="auto"/>
              <w:jc w:val="center"/>
              <w:rPr>
                <w:rFonts w:eastAsia="仿宋"/>
                <w:color w:val="auto"/>
                <w:sz w:val="24"/>
              </w:rPr>
            </w:pPr>
            <w:r>
              <w:rPr>
                <w:rFonts w:eastAsia="仿宋"/>
                <w:color w:val="auto"/>
                <w:sz w:val="24"/>
                <w:lang w:val="mn-MN"/>
              </w:rPr>
              <w:t xml:space="preserve"> </w:t>
            </w:r>
          </w:p>
        </w:tc>
        <w:tc>
          <w:tcPr>
            <w:tcW w:w="2546" w:type="dxa"/>
            <w:tcBorders>
              <w:top w:val="nil"/>
              <w:left w:val="nil"/>
              <w:bottom w:val="single" w:color="auto" w:sz="4" w:space="0"/>
              <w:right w:val="single" w:color="auto" w:sz="4" w:space="0"/>
            </w:tcBorders>
            <w:tcMar>
              <w:top w:w="19" w:type="dxa"/>
              <w:left w:w="19" w:type="dxa"/>
              <w:bottom w:w="0" w:type="dxa"/>
              <w:right w:w="19" w:type="dxa"/>
            </w:tcMar>
            <w:vAlign w:val="center"/>
          </w:tcPr>
          <w:p w14:paraId="044DDFC5">
            <w:pPr>
              <w:widowControl/>
              <w:spacing w:after="0" w:line="240" w:lineRule="auto"/>
              <w:jc w:val="center"/>
              <w:rPr>
                <w:rFonts w:eastAsia="仿宋"/>
                <w:sz w:val="24"/>
                <w:lang w:val="mn-MN"/>
              </w:rPr>
            </w:pPr>
            <w:r>
              <w:rPr>
                <w:rFonts w:eastAsia="仿宋"/>
                <w:sz w:val="24"/>
                <w:lang w:val="mn-MN"/>
              </w:rPr>
              <w:t>Шинь Шинь ХХК-ний Чойбалсан төлөөлөгчийн газар</w:t>
            </w:r>
          </w:p>
        </w:tc>
        <w:tc>
          <w:tcPr>
            <w:tcW w:w="2075" w:type="dxa"/>
            <w:tcBorders>
              <w:top w:val="nil"/>
              <w:left w:val="nil"/>
              <w:bottom w:val="single" w:color="auto" w:sz="4" w:space="0"/>
              <w:right w:val="single" w:color="auto" w:sz="4" w:space="0"/>
            </w:tcBorders>
            <w:tcMar>
              <w:top w:w="19" w:type="dxa"/>
              <w:left w:w="19" w:type="dxa"/>
              <w:bottom w:w="0" w:type="dxa"/>
              <w:right w:w="19" w:type="dxa"/>
            </w:tcMar>
            <w:vAlign w:val="center"/>
          </w:tcPr>
          <w:p w14:paraId="6507099B">
            <w:pPr>
              <w:widowControl/>
              <w:spacing w:after="0" w:line="240" w:lineRule="auto"/>
              <w:jc w:val="center"/>
              <w:rPr>
                <w:rFonts w:eastAsia="仿宋"/>
                <w:sz w:val="24"/>
              </w:rPr>
            </w:pPr>
            <w:r>
              <w:rPr>
                <w:rFonts w:hint="eastAsia" w:eastAsia="仿宋"/>
                <w:sz w:val="24"/>
              </w:rPr>
              <w:t>　</w:t>
            </w:r>
          </w:p>
        </w:tc>
      </w:tr>
      <w:tr w14:paraId="4030C518">
        <w:tblPrEx>
          <w:tblCellMar>
            <w:top w:w="0" w:type="dxa"/>
            <w:left w:w="0" w:type="dxa"/>
            <w:bottom w:w="0" w:type="dxa"/>
            <w:right w:w="0" w:type="dxa"/>
          </w:tblCellMar>
        </w:tblPrEx>
        <w:trPr>
          <w:trHeight w:val="57" w:hRule="atLeast"/>
        </w:trPr>
        <w:tc>
          <w:tcPr>
            <w:tcW w:w="567" w:type="dxa"/>
            <w:tcBorders>
              <w:top w:val="nil"/>
              <w:left w:val="single" w:color="auto" w:sz="4" w:space="0"/>
              <w:bottom w:val="single" w:color="auto" w:sz="4" w:space="0"/>
              <w:right w:val="single" w:color="auto" w:sz="4" w:space="0"/>
            </w:tcBorders>
            <w:tcMar>
              <w:top w:w="19" w:type="dxa"/>
              <w:left w:w="19" w:type="dxa"/>
              <w:bottom w:w="0" w:type="dxa"/>
              <w:right w:w="19" w:type="dxa"/>
            </w:tcMar>
            <w:vAlign w:val="center"/>
          </w:tcPr>
          <w:p w14:paraId="76A532F2">
            <w:pPr>
              <w:widowControl/>
              <w:spacing w:after="0" w:line="240" w:lineRule="auto"/>
              <w:jc w:val="center"/>
              <w:rPr>
                <w:rFonts w:hint="eastAsia" w:eastAsia="仿宋"/>
                <w:sz w:val="24"/>
                <w:lang w:eastAsia="zh-CN"/>
              </w:rPr>
            </w:pPr>
            <w:r>
              <w:rPr>
                <w:rFonts w:hint="eastAsia" w:eastAsia="仿宋"/>
                <w:sz w:val="24"/>
                <w:lang w:val="en-US" w:eastAsia="zh-CN"/>
              </w:rPr>
              <w:t>6</w:t>
            </w:r>
          </w:p>
        </w:tc>
        <w:tc>
          <w:tcPr>
            <w:tcW w:w="1862" w:type="dxa"/>
            <w:tcBorders>
              <w:top w:val="nil"/>
              <w:left w:val="nil"/>
              <w:bottom w:val="single" w:color="auto" w:sz="4" w:space="0"/>
              <w:right w:val="single" w:color="auto" w:sz="4" w:space="0"/>
            </w:tcBorders>
            <w:tcMar>
              <w:top w:w="19" w:type="dxa"/>
              <w:left w:w="19" w:type="dxa"/>
              <w:bottom w:w="0" w:type="dxa"/>
              <w:right w:w="19" w:type="dxa"/>
            </w:tcMar>
            <w:vAlign w:val="center"/>
          </w:tcPr>
          <w:p w14:paraId="08539ED4">
            <w:pPr>
              <w:widowControl/>
              <w:spacing w:after="0" w:line="240" w:lineRule="auto"/>
              <w:jc w:val="center"/>
              <w:rPr>
                <w:rFonts w:eastAsia="仿宋"/>
                <w:sz w:val="24"/>
                <w:lang w:val="mn-MN"/>
              </w:rPr>
            </w:pPr>
            <w:r>
              <w:rPr>
                <w:rFonts w:eastAsia="仿宋"/>
                <w:sz w:val="24"/>
                <w:lang w:val="mn-MN"/>
              </w:rPr>
              <w:t xml:space="preserve">Тендер нээх </w:t>
            </w:r>
          </w:p>
        </w:tc>
        <w:tc>
          <w:tcPr>
            <w:tcW w:w="2400" w:type="dxa"/>
            <w:tcBorders>
              <w:top w:val="nil"/>
              <w:left w:val="nil"/>
              <w:bottom w:val="single" w:color="auto" w:sz="4" w:space="0"/>
              <w:right w:val="single" w:color="auto" w:sz="4" w:space="0"/>
            </w:tcBorders>
            <w:tcMar>
              <w:top w:w="19" w:type="dxa"/>
              <w:left w:w="19" w:type="dxa"/>
              <w:bottom w:w="0" w:type="dxa"/>
              <w:right w:w="19" w:type="dxa"/>
            </w:tcMar>
            <w:vAlign w:val="center"/>
          </w:tcPr>
          <w:p w14:paraId="610C7612">
            <w:pPr>
              <w:widowControl/>
              <w:spacing w:after="0" w:line="240" w:lineRule="auto"/>
              <w:jc w:val="center"/>
              <w:rPr>
                <w:rFonts w:hint="default" w:eastAsia="仿宋"/>
                <w:color w:val="auto"/>
                <w:sz w:val="24"/>
                <w:lang w:val="mn-MN"/>
              </w:rPr>
            </w:pPr>
            <w:r>
              <w:rPr>
                <w:rFonts w:hint="eastAsia" w:eastAsia="仿宋"/>
                <w:color w:val="auto"/>
                <w:sz w:val="24"/>
              </w:rPr>
              <w:t>202</w:t>
            </w:r>
            <w:r>
              <w:rPr>
                <w:rFonts w:hint="eastAsia" w:eastAsia="仿宋"/>
                <w:color w:val="auto"/>
                <w:sz w:val="24"/>
                <w:lang w:val="en-US" w:eastAsia="zh-CN"/>
              </w:rPr>
              <w:t>6</w:t>
            </w:r>
            <w:r>
              <w:rPr>
                <w:rFonts w:eastAsia="仿宋"/>
                <w:color w:val="auto"/>
                <w:sz w:val="24"/>
                <w:lang w:val="mn-MN"/>
              </w:rPr>
              <w:t xml:space="preserve"> он </w:t>
            </w:r>
            <w:r>
              <w:rPr>
                <w:rFonts w:hint="eastAsia" w:eastAsia="仿宋"/>
                <w:color w:val="auto"/>
                <w:sz w:val="24"/>
                <w:lang w:val="en-US" w:eastAsia="zh-CN"/>
              </w:rPr>
              <w:t>2</w:t>
            </w:r>
            <w:r>
              <w:rPr>
                <w:rFonts w:eastAsia="仿宋"/>
                <w:color w:val="auto"/>
                <w:sz w:val="24"/>
                <w:lang w:val="mn-MN"/>
              </w:rPr>
              <w:t xml:space="preserve">сар </w:t>
            </w:r>
            <w:r>
              <w:rPr>
                <w:rFonts w:hint="eastAsia" w:eastAsia="仿宋"/>
                <w:color w:val="auto"/>
                <w:sz w:val="24"/>
                <w:lang w:val="en-US" w:eastAsia="zh-CN"/>
              </w:rPr>
              <w:t>23</w:t>
            </w:r>
            <w:r>
              <w:rPr>
                <w:rFonts w:hint="default" w:eastAsia="仿宋"/>
                <w:color w:val="auto"/>
                <w:sz w:val="24"/>
                <w:cs/>
                <w:lang w:val="mn-MN" w:eastAsia="zh-CN"/>
              </w:rPr>
              <w:t xml:space="preserve">ны өмнө </w:t>
            </w:r>
          </w:p>
        </w:tc>
        <w:tc>
          <w:tcPr>
            <w:tcW w:w="2546" w:type="dxa"/>
            <w:tcBorders>
              <w:top w:val="nil"/>
              <w:left w:val="nil"/>
              <w:bottom w:val="single" w:color="auto" w:sz="4" w:space="0"/>
              <w:right w:val="single" w:color="auto" w:sz="4" w:space="0"/>
            </w:tcBorders>
            <w:tcMar>
              <w:top w:w="19" w:type="dxa"/>
              <w:left w:w="19" w:type="dxa"/>
              <w:bottom w:w="0" w:type="dxa"/>
              <w:right w:w="19" w:type="dxa"/>
            </w:tcMar>
            <w:vAlign w:val="center"/>
          </w:tcPr>
          <w:p w14:paraId="69AA7C3E">
            <w:pPr>
              <w:widowControl/>
              <w:spacing w:after="0" w:line="240" w:lineRule="auto"/>
              <w:jc w:val="center"/>
              <w:rPr>
                <w:rFonts w:eastAsia="仿宋"/>
                <w:sz w:val="24"/>
              </w:rPr>
            </w:pPr>
            <w:r>
              <w:rPr>
                <w:rFonts w:eastAsia="仿宋"/>
                <w:sz w:val="24"/>
                <w:lang w:val="mn-MN"/>
              </w:rPr>
              <w:t>Шинь Шинь ХХК</w:t>
            </w:r>
          </w:p>
        </w:tc>
        <w:tc>
          <w:tcPr>
            <w:tcW w:w="2075" w:type="dxa"/>
            <w:tcBorders>
              <w:top w:val="nil"/>
              <w:left w:val="nil"/>
              <w:bottom w:val="single" w:color="auto" w:sz="4" w:space="0"/>
              <w:right w:val="single" w:color="auto" w:sz="4" w:space="0"/>
            </w:tcBorders>
            <w:tcMar>
              <w:top w:w="19" w:type="dxa"/>
              <w:left w:w="19" w:type="dxa"/>
              <w:bottom w:w="0" w:type="dxa"/>
              <w:right w:w="19" w:type="dxa"/>
            </w:tcMar>
            <w:vAlign w:val="center"/>
          </w:tcPr>
          <w:p w14:paraId="5DB717BD">
            <w:pPr>
              <w:widowControl/>
              <w:spacing w:after="0" w:line="240" w:lineRule="auto"/>
              <w:jc w:val="center"/>
              <w:rPr>
                <w:rFonts w:eastAsia="仿宋"/>
                <w:sz w:val="24"/>
              </w:rPr>
            </w:pPr>
          </w:p>
        </w:tc>
      </w:tr>
      <w:tr w14:paraId="76A20513">
        <w:tblPrEx>
          <w:tblCellMar>
            <w:top w:w="0" w:type="dxa"/>
            <w:left w:w="0" w:type="dxa"/>
            <w:bottom w:w="0" w:type="dxa"/>
            <w:right w:w="0" w:type="dxa"/>
          </w:tblCellMar>
        </w:tblPrEx>
        <w:trPr>
          <w:trHeight w:val="57" w:hRule="atLeast"/>
        </w:trPr>
        <w:tc>
          <w:tcPr>
            <w:tcW w:w="567" w:type="dxa"/>
            <w:tcBorders>
              <w:top w:val="nil"/>
              <w:left w:val="single" w:color="auto" w:sz="4" w:space="0"/>
              <w:bottom w:val="single" w:color="auto" w:sz="4" w:space="0"/>
              <w:right w:val="single" w:color="auto" w:sz="4" w:space="0"/>
            </w:tcBorders>
            <w:tcMar>
              <w:top w:w="19" w:type="dxa"/>
              <w:left w:w="19" w:type="dxa"/>
              <w:bottom w:w="0" w:type="dxa"/>
              <w:right w:w="19" w:type="dxa"/>
            </w:tcMar>
            <w:vAlign w:val="center"/>
          </w:tcPr>
          <w:p w14:paraId="05666E84">
            <w:pPr>
              <w:widowControl/>
              <w:spacing w:after="0" w:line="240" w:lineRule="auto"/>
              <w:jc w:val="center"/>
              <w:rPr>
                <w:rFonts w:hint="eastAsia" w:eastAsia="仿宋"/>
                <w:sz w:val="24"/>
                <w:lang w:eastAsia="zh-CN"/>
              </w:rPr>
            </w:pPr>
            <w:r>
              <w:rPr>
                <w:rFonts w:hint="eastAsia" w:eastAsia="仿宋"/>
                <w:sz w:val="24"/>
                <w:lang w:val="en-US" w:eastAsia="zh-CN"/>
              </w:rPr>
              <w:t>7</w:t>
            </w:r>
          </w:p>
        </w:tc>
        <w:tc>
          <w:tcPr>
            <w:tcW w:w="1862" w:type="dxa"/>
            <w:tcBorders>
              <w:top w:val="nil"/>
              <w:left w:val="nil"/>
              <w:bottom w:val="single" w:color="auto" w:sz="4" w:space="0"/>
              <w:right w:val="single" w:color="auto" w:sz="4" w:space="0"/>
            </w:tcBorders>
            <w:tcMar>
              <w:top w:w="19" w:type="dxa"/>
              <w:left w:w="19" w:type="dxa"/>
              <w:bottom w:w="0" w:type="dxa"/>
              <w:right w:w="19" w:type="dxa"/>
            </w:tcMar>
            <w:vAlign w:val="center"/>
          </w:tcPr>
          <w:p w14:paraId="1DCC0C39">
            <w:pPr>
              <w:widowControl/>
              <w:spacing w:after="0" w:line="240" w:lineRule="auto"/>
              <w:jc w:val="center"/>
              <w:rPr>
                <w:rFonts w:eastAsia="仿宋"/>
                <w:sz w:val="24"/>
                <w:lang w:val="mn-MN"/>
              </w:rPr>
            </w:pPr>
            <w:r>
              <w:rPr>
                <w:rFonts w:eastAsia="仿宋"/>
                <w:sz w:val="24"/>
                <w:lang w:val="mn-MN"/>
              </w:rPr>
              <w:t>Тендерт ялагчийг зарлах</w:t>
            </w:r>
          </w:p>
        </w:tc>
        <w:tc>
          <w:tcPr>
            <w:tcW w:w="2400" w:type="dxa"/>
            <w:tcBorders>
              <w:top w:val="nil"/>
              <w:left w:val="nil"/>
              <w:bottom w:val="single" w:color="auto" w:sz="4" w:space="0"/>
              <w:right w:val="single" w:color="auto" w:sz="4" w:space="0"/>
            </w:tcBorders>
            <w:tcMar>
              <w:top w:w="19" w:type="dxa"/>
              <w:left w:w="19" w:type="dxa"/>
              <w:bottom w:w="0" w:type="dxa"/>
              <w:right w:w="19" w:type="dxa"/>
            </w:tcMar>
            <w:vAlign w:val="center"/>
          </w:tcPr>
          <w:p w14:paraId="27C3566A">
            <w:pPr>
              <w:widowControl/>
              <w:spacing w:after="0" w:line="240" w:lineRule="auto"/>
              <w:jc w:val="center"/>
              <w:rPr>
                <w:rFonts w:eastAsia="仿宋"/>
                <w:color w:val="auto"/>
                <w:sz w:val="24"/>
              </w:rPr>
            </w:pPr>
            <w:r>
              <w:rPr>
                <w:rFonts w:hint="eastAsia" w:eastAsia="仿宋"/>
                <w:color w:val="auto"/>
                <w:sz w:val="24"/>
              </w:rPr>
              <w:t>202</w:t>
            </w:r>
            <w:r>
              <w:rPr>
                <w:rFonts w:hint="eastAsia" w:eastAsia="仿宋"/>
                <w:color w:val="auto"/>
                <w:sz w:val="24"/>
                <w:lang w:val="en-US" w:eastAsia="zh-CN"/>
              </w:rPr>
              <w:t>6</w:t>
            </w:r>
            <w:r>
              <w:rPr>
                <w:rFonts w:eastAsia="仿宋"/>
                <w:color w:val="auto"/>
                <w:sz w:val="24"/>
                <w:lang w:val="mn-MN"/>
              </w:rPr>
              <w:t xml:space="preserve"> он</w:t>
            </w:r>
            <w:r>
              <w:rPr>
                <w:rFonts w:hint="eastAsia" w:eastAsia="仿宋"/>
                <w:color w:val="auto"/>
                <w:sz w:val="24"/>
                <w:lang w:val="en-US" w:eastAsia="zh-CN"/>
              </w:rPr>
              <w:t xml:space="preserve"> 2 </w:t>
            </w:r>
            <w:r>
              <w:rPr>
                <w:rFonts w:eastAsia="仿宋"/>
                <w:color w:val="auto"/>
                <w:sz w:val="24"/>
                <w:lang w:val="mn-MN"/>
              </w:rPr>
              <w:t xml:space="preserve">сар </w:t>
            </w:r>
            <w:r>
              <w:rPr>
                <w:rFonts w:hint="eastAsia" w:eastAsia="仿宋"/>
                <w:color w:val="auto"/>
                <w:sz w:val="24"/>
                <w:lang w:val="en-US" w:eastAsia="zh-CN"/>
              </w:rPr>
              <w:t>25</w:t>
            </w:r>
            <w:r>
              <w:rPr>
                <w:rFonts w:eastAsia="仿宋"/>
                <w:color w:val="auto"/>
                <w:sz w:val="24"/>
                <w:lang w:val="mn-MN"/>
              </w:rPr>
              <w:t>-ноос өмнө</w:t>
            </w:r>
          </w:p>
        </w:tc>
        <w:tc>
          <w:tcPr>
            <w:tcW w:w="2546" w:type="dxa"/>
            <w:tcBorders>
              <w:top w:val="nil"/>
              <w:left w:val="nil"/>
              <w:bottom w:val="single" w:color="auto" w:sz="4" w:space="0"/>
              <w:right w:val="single" w:color="auto" w:sz="4" w:space="0"/>
            </w:tcBorders>
            <w:tcMar>
              <w:top w:w="19" w:type="dxa"/>
              <w:left w:w="19" w:type="dxa"/>
              <w:bottom w:w="0" w:type="dxa"/>
              <w:right w:w="19" w:type="dxa"/>
            </w:tcMar>
            <w:vAlign w:val="center"/>
          </w:tcPr>
          <w:p w14:paraId="7B0ABE16">
            <w:pPr>
              <w:widowControl/>
              <w:spacing w:after="0" w:line="240" w:lineRule="auto"/>
              <w:jc w:val="center"/>
              <w:rPr>
                <w:rFonts w:eastAsia="仿宋"/>
                <w:sz w:val="24"/>
              </w:rPr>
            </w:pPr>
          </w:p>
        </w:tc>
        <w:tc>
          <w:tcPr>
            <w:tcW w:w="2075" w:type="dxa"/>
            <w:tcBorders>
              <w:top w:val="nil"/>
              <w:left w:val="nil"/>
              <w:bottom w:val="single" w:color="auto" w:sz="4" w:space="0"/>
              <w:right w:val="single" w:color="auto" w:sz="4" w:space="0"/>
            </w:tcBorders>
            <w:tcMar>
              <w:top w:w="19" w:type="dxa"/>
              <w:left w:w="19" w:type="dxa"/>
              <w:bottom w:w="0" w:type="dxa"/>
              <w:right w:w="19" w:type="dxa"/>
            </w:tcMar>
            <w:vAlign w:val="center"/>
          </w:tcPr>
          <w:p w14:paraId="7C3490A5">
            <w:pPr>
              <w:widowControl/>
              <w:spacing w:after="0" w:line="240" w:lineRule="auto"/>
              <w:jc w:val="center"/>
              <w:rPr>
                <w:rFonts w:eastAsia="仿宋"/>
                <w:sz w:val="24"/>
              </w:rPr>
            </w:pPr>
          </w:p>
        </w:tc>
      </w:tr>
      <w:tr w14:paraId="50F645DA">
        <w:tblPrEx>
          <w:tblCellMar>
            <w:top w:w="0" w:type="dxa"/>
            <w:left w:w="0" w:type="dxa"/>
            <w:bottom w:w="0" w:type="dxa"/>
            <w:right w:w="0" w:type="dxa"/>
          </w:tblCellMar>
        </w:tblPrEx>
        <w:trPr>
          <w:trHeight w:val="57" w:hRule="atLeast"/>
        </w:trPr>
        <w:tc>
          <w:tcPr>
            <w:tcW w:w="567" w:type="dxa"/>
            <w:tcBorders>
              <w:top w:val="nil"/>
              <w:left w:val="single" w:color="auto" w:sz="4" w:space="0"/>
              <w:bottom w:val="single" w:color="auto" w:sz="4" w:space="0"/>
              <w:right w:val="single" w:color="auto" w:sz="4" w:space="0"/>
            </w:tcBorders>
            <w:tcMar>
              <w:top w:w="19" w:type="dxa"/>
              <w:left w:w="19" w:type="dxa"/>
              <w:bottom w:w="0" w:type="dxa"/>
              <w:right w:w="19" w:type="dxa"/>
            </w:tcMar>
            <w:vAlign w:val="center"/>
          </w:tcPr>
          <w:p w14:paraId="5509CB60">
            <w:pPr>
              <w:widowControl/>
              <w:spacing w:after="0" w:line="240" w:lineRule="auto"/>
              <w:jc w:val="center"/>
              <w:rPr>
                <w:rFonts w:hint="eastAsia" w:eastAsia="仿宋"/>
                <w:sz w:val="24"/>
                <w:lang w:eastAsia="zh-CN"/>
              </w:rPr>
            </w:pPr>
            <w:r>
              <w:rPr>
                <w:rFonts w:hint="eastAsia" w:eastAsia="仿宋"/>
                <w:sz w:val="24"/>
                <w:lang w:val="en-US" w:eastAsia="zh-CN"/>
              </w:rPr>
              <w:t>8</w:t>
            </w:r>
          </w:p>
        </w:tc>
        <w:tc>
          <w:tcPr>
            <w:tcW w:w="1862" w:type="dxa"/>
            <w:tcBorders>
              <w:top w:val="nil"/>
              <w:left w:val="nil"/>
              <w:bottom w:val="single" w:color="auto" w:sz="4" w:space="0"/>
              <w:right w:val="single" w:color="auto" w:sz="4" w:space="0"/>
            </w:tcBorders>
            <w:tcMar>
              <w:top w:w="19" w:type="dxa"/>
              <w:left w:w="19" w:type="dxa"/>
              <w:bottom w:w="0" w:type="dxa"/>
              <w:right w:w="19" w:type="dxa"/>
            </w:tcMar>
            <w:vAlign w:val="center"/>
          </w:tcPr>
          <w:p w14:paraId="1672A72F">
            <w:pPr>
              <w:widowControl/>
              <w:spacing w:after="0" w:line="240" w:lineRule="auto"/>
              <w:jc w:val="center"/>
              <w:rPr>
                <w:rFonts w:eastAsia="仿宋"/>
                <w:sz w:val="24"/>
                <w:lang w:val="mn-MN"/>
              </w:rPr>
            </w:pPr>
            <w:r>
              <w:rPr>
                <w:rFonts w:eastAsia="仿宋"/>
                <w:sz w:val="24"/>
                <w:lang w:val="mn-MN"/>
              </w:rPr>
              <w:t>Тендерийн мэдэгдэх бичиг</w:t>
            </w:r>
          </w:p>
        </w:tc>
        <w:tc>
          <w:tcPr>
            <w:tcW w:w="2400" w:type="dxa"/>
            <w:tcBorders>
              <w:top w:val="nil"/>
              <w:left w:val="nil"/>
              <w:bottom w:val="single" w:color="auto" w:sz="4" w:space="0"/>
              <w:right w:val="single" w:color="auto" w:sz="4" w:space="0"/>
            </w:tcBorders>
            <w:tcMar>
              <w:top w:w="19" w:type="dxa"/>
              <w:left w:w="19" w:type="dxa"/>
              <w:bottom w:w="0" w:type="dxa"/>
              <w:right w:w="19" w:type="dxa"/>
            </w:tcMar>
            <w:vAlign w:val="center"/>
          </w:tcPr>
          <w:p w14:paraId="33BA9E1B">
            <w:pPr>
              <w:widowControl/>
              <w:spacing w:after="0" w:line="240" w:lineRule="auto"/>
              <w:jc w:val="center"/>
              <w:rPr>
                <w:rFonts w:eastAsia="仿宋"/>
                <w:color w:val="auto"/>
                <w:sz w:val="24"/>
              </w:rPr>
            </w:pPr>
            <w:r>
              <w:rPr>
                <w:rFonts w:hint="eastAsia" w:eastAsia="仿宋"/>
                <w:color w:val="auto"/>
                <w:sz w:val="24"/>
              </w:rPr>
              <w:t>202</w:t>
            </w:r>
            <w:r>
              <w:rPr>
                <w:rFonts w:hint="eastAsia" w:eastAsia="仿宋"/>
                <w:color w:val="auto"/>
                <w:sz w:val="24"/>
                <w:lang w:val="en-US" w:eastAsia="zh-CN"/>
              </w:rPr>
              <w:t>6</w:t>
            </w:r>
            <w:r>
              <w:rPr>
                <w:rFonts w:eastAsia="仿宋"/>
                <w:color w:val="auto"/>
                <w:sz w:val="24"/>
                <w:lang w:val="mn-MN"/>
              </w:rPr>
              <w:t xml:space="preserve">он </w:t>
            </w:r>
            <w:r>
              <w:rPr>
                <w:rFonts w:hint="eastAsia" w:eastAsia="仿宋"/>
                <w:color w:val="auto"/>
                <w:sz w:val="24"/>
                <w:lang w:val="en-US" w:eastAsia="zh-CN"/>
              </w:rPr>
              <w:t xml:space="preserve">3 </w:t>
            </w:r>
            <w:r>
              <w:rPr>
                <w:rFonts w:eastAsia="仿宋"/>
                <w:color w:val="auto"/>
                <w:sz w:val="24"/>
                <w:lang w:val="mn-MN"/>
              </w:rPr>
              <w:t xml:space="preserve">сар </w:t>
            </w:r>
            <w:r>
              <w:rPr>
                <w:rFonts w:hint="eastAsia" w:eastAsia="仿宋"/>
                <w:color w:val="auto"/>
                <w:sz w:val="24"/>
                <w:lang w:val="en-US" w:eastAsia="zh-CN"/>
              </w:rPr>
              <w:t xml:space="preserve">02 </w:t>
            </w:r>
            <w:r>
              <w:rPr>
                <w:rFonts w:eastAsia="仿宋"/>
                <w:color w:val="auto"/>
                <w:sz w:val="24"/>
                <w:lang w:val="mn-MN"/>
              </w:rPr>
              <w:t>өдөр</w:t>
            </w:r>
          </w:p>
        </w:tc>
        <w:tc>
          <w:tcPr>
            <w:tcW w:w="2546" w:type="dxa"/>
            <w:tcBorders>
              <w:top w:val="nil"/>
              <w:left w:val="nil"/>
              <w:bottom w:val="single" w:color="auto" w:sz="4" w:space="0"/>
              <w:right w:val="single" w:color="auto" w:sz="4" w:space="0"/>
            </w:tcBorders>
            <w:tcMar>
              <w:top w:w="19" w:type="dxa"/>
              <w:left w:w="19" w:type="dxa"/>
              <w:bottom w:w="0" w:type="dxa"/>
              <w:right w:w="19" w:type="dxa"/>
            </w:tcMar>
            <w:vAlign w:val="center"/>
          </w:tcPr>
          <w:p w14:paraId="6D528AF9">
            <w:pPr>
              <w:widowControl/>
              <w:spacing w:after="0" w:line="240" w:lineRule="auto"/>
              <w:jc w:val="center"/>
              <w:rPr>
                <w:rFonts w:eastAsia="仿宋"/>
                <w:sz w:val="24"/>
              </w:rPr>
            </w:pPr>
          </w:p>
        </w:tc>
        <w:tc>
          <w:tcPr>
            <w:tcW w:w="2075" w:type="dxa"/>
            <w:tcBorders>
              <w:top w:val="nil"/>
              <w:left w:val="nil"/>
              <w:bottom w:val="single" w:color="auto" w:sz="4" w:space="0"/>
              <w:right w:val="single" w:color="auto" w:sz="4" w:space="0"/>
            </w:tcBorders>
            <w:tcMar>
              <w:top w:w="19" w:type="dxa"/>
              <w:left w:w="19" w:type="dxa"/>
              <w:bottom w:w="0" w:type="dxa"/>
              <w:right w:w="19" w:type="dxa"/>
            </w:tcMar>
            <w:vAlign w:val="center"/>
          </w:tcPr>
          <w:p w14:paraId="53D22BF8">
            <w:pPr>
              <w:widowControl/>
              <w:spacing w:after="0" w:line="240" w:lineRule="auto"/>
              <w:jc w:val="center"/>
              <w:rPr>
                <w:rFonts w:eastAsia="仿宋"/>
                <w:sz w:val="24"/>
              </w:rPr>
            </w:pPr>
            <w:r>
              <w:rPr>
                <w:rFonts w:hint="eastAsia" w:eastAsia="仿宋"/>
                <w:sz w:val="24"/>
              </w:rPr>
              <w:t>　</w:t>
            </w:r>
          </w:p>
        </w:tc>
      </w:tr>
      <w:tr w14:paraId="72A72FD5">
        <w:tblPrEx>
          <w:tblCellMar>
            <w:top w:w="0" w:type="dxa"/>
            <w:left w:w="0" w:type="dxa"/>
            <w:bottom w:w="0" w:type="dxa"/>
            <w:right w:w="0" w:type="dxa"/>
          </w:tblCellMar>
        </w:tblPrEx>
        <w:trPr>
          <w:trHeight w:val="57" w:hRule="atLeast"/>
        </w:trPr>
        <w:tc>
          <w:tcPr>
            <w:tcW w:w="567" w:type="dxa"/>
            <w:tcBorders>
              <w:top w:val="nil"/>
              <w:left w:val="single" w:color="auto" w:sz="4" w:space="0"/>
              <w:bottom w:val="single" w:color="auto" w:sz="4" w:space="0"/>
              <w:right w:val="single" w:color="auto" w:sz="4" w:space="0"/>
            </w:tcBorders>
            <w:tcMar>
              <w:top w:w="19" w:type="dxa"/>
              <w:left w:w="19" w:type="dxa"/>
              <w:bottom w:w="0" w:type="dxa"/>
              <w:right w:w="19" w:type="dxa"/>
            </w:tcMar>
            <w:vAlign w:val="center"/>
          </w:tcPr>
          <w:p w14:paraId="2414EB9D">
            <w:pPr>
              <w:widowControl/>
              <w:spacing w:after="0" w:line="240" w:lineRule="auto"/>
              <w:jc w:val="center"/>
              <w:rPr>
                <w:rFonts w:hint="eastAsia" w:eastAsia="仿宋"/>
                <w:sz w:val="24"/>
                <w:lang w:eastAsia="zh-CN"/>
              </w:rPr>
            </w:pPr>
            <w:r>
              <w:rPr>
                <w:rFonts w:hint="eastAsia" w:eastAsia="仿宋"/>
                <w:sz w:val="24"/>
                <w:lang w:val="en-US" w:eastAsia="zh-CN"/>
              </w:rPr>
              <w:t>9</w:t>
            </w:r>
          </w:p>
        </w:tc>
        <w:tc>
          <w:tcPr>
            <w:tcW w:w="1862" w:type="dxa"/>
            <w:tcBorders>
              <w:top w:val="nil"/>
              <w:left w:val="nil"/>
              <w:bottom w:val="single" w:color="auto" w:sz="4" w:space="0"/>
              <w:right w:val="single" w:color="auto" w:sz="4" w:space="0"/>
            </w:tcBorders>
            <w:tcMar>
              <w:top w:w="19" w:type="dxa"/>
              <w:left w:w="19" w:type="dxa"/>
              <w:bottom w:w="0" w:type="dxa"/>
              <w:right w:w="19" w:type="dxa"/>
            </w:tcMar>
            <w:vAlign w:val="center"/>
          </w:tcPr>
          <w:p w14:paraId="7398F88D">
            <w:pPr>
              <w:widowControl/>
              <w:spacing w:after="0" w:line="240" w:lineRule="auto"/>
              <w:jc w:val="center"/>
              <w:rPr>
                <w:rFonts w:eastAsia="仿宋"/>
                <w:sz w:val="24"/>
                <w:lang w:val="mn-MN"/>
              </w:rPr>
            </w:pPr>
            <w:r>
              <w:rPr>
                <w:rFonts w:eastAsia="仿宋"/>
                <w:sz w:val="24"/>
                <w:lang w:val="mn-MN"/>
              </w:rPr>
              <w:t>Гэрээ байгуулах</w:t>
            </w:r>
          </w:p>
        </w:tc>
        <w:tc>
          <w:tcPr>
            <w:tcW w:w="2400" w:type="dxa"/>
            <w:tcBorders>
              <w:top w:val="nil"/>
              <w:left w:val="nil"/>
              <w:bottom w:val="single" w:color="auto" w:sz="4" w:space="0"/>
              <w:right w:val="single" w:color="auto" w:sz="4" w:space="0"/>
            </w:tcBorders>
            <w:tcMar>
              <w:top w:w="19" w:type="dxa"/>
              <w:left w:w="19" w:type="dxa"/>
              <w:bottom w:w="0" w:type="dxa"/>
              <w:right w:w="19" w:type="dxa"/>
            </w:tcMar>
            <w:vAlign w:val="center"/>
          </w:tcPr>
          <w:p w14:paraId="1230E397">
            <w:pPr>
              <w:widowControl/>
              <w:spacing w:after="0" w:line="240" w:lineRule="auto"/>
              <w:jc w:val="center"/>
              <w:rPr>
                <w:rFonts w:eastAsia="仿宋"/>
                <w:color w:val="auto"/>
                <w:sz w:val="24"/>
                <w:lang w:val="mn-MN"/>
              </w:rPr>
            </w:pPr>
            <w:r>
              <w:rPr>
                <w:rFonts w:eastAsia="仿宋"/>
                <w:color w:val="auto"/>
                <w:sz w:val="24"/>
                <w:lang w:val="mn-MN"/>
              </w:rPr>
              <w:t xml:space="preserve">Тендерт ялсан тухай мэдэгдэх </w:t>
            </w:r>
          </w:p>
        </w:tc>
        <w:tc>
          <w:tcPr>
            <w:tcW w:w="2546" w:type="dxa"/>
            <w:tcBorders>
              <w:top w:val="nil"/>
              <w:left w:val="nil"/>
              <w:bottom w:val="single" w:color="auto" w:sz="4" w:space="0"/>
              <w:right w:val="single" w:color="auto" w:sz="4" w:space="0"/>
            </w:tcBorders>
            <w:tcMar>
              <w:top w:w="19" w:type="dxa"/>
              <w:left w:w="19" w:type="dxa"/>
              <w:bottom w:w="0" w:type="dxa"/>
              <w:right w:w="19" w:type="dxa"/>
            </w:tcMar>
            <w:vAlign w:val="center"/>
          </w:tcPr>
          <w:p w14:paraId="4A5090C0">
            <w:pPr>
              <w:widowControl/>
              <w:spacing w:after="0" w:line="240" w:lineRule="auto"/>
              <w:jc w:val="center"/>
              <w:rPr>
                <w:rFonts w:eastAsia="仿宋"/>
                <w:sz w:val="24"/>
              </w:rPr>
            </w:pPr>
            <w:r>
              <w:rPr>
                <w:rFonts w:eastAsia="仿宋"/>
                <w:sz w:val="24"/>
                <w:lang w:val="mn-MN"/>
              </w:rPr>
              <w:t>Тендерт ялсан тухай мэдэгдэх</w:t>
            </w:r>
          </w:p>
        </w:tc>
        <w:tc>
          <w:tcPr>
            <w:tcW w:w="2075" w:type="dxa"/>
            <w:tcBorders>
              <w:top w:val="nil"/>
              <w:left w:val="nil"/>
              <w:bottom w:val="single" w:color="auto" w:sz="4" w:space="0"/>
              <w:right w:val="single" w:color="auto" w:sz="4" w:space="0"/>
            </w:tcBorders>
            <w:tcMar>
              <w:top w:w="19" w:type="dxa"/>
              <w:left w:w="19" w:type="dxa"/>
              <w:bottom w:w="0" w:type="dxa"/>
              <w:right w:w="19" w:type="dxa"/>
            </w:tcMar>
            <w:vAlign w:val="center"/>
          </w:tcPr>
          <w:p w14:paraId="4BE83F19">
            <w:pPr>
              <w:widowControl/>
              <w:spacing w:after="0" w:line="240" w:lineRule="auto"/>
              <w:jc w:val="center"/>
              <w:rPr>
                <w:rFonts w:eastAsia="仿宋"/>
                <w:sz w:val="24"/>
              </w:rPr>
            </w:pPr>
            <w:r>
              <w:rPr>
                <w:rFonts w:hint="eastAsia" w:eastAsia="仿宋"/>
                <w:sz w:val="24"/>
              </w:rPr>
              <w:t>　</w:t>
            </w:r>
          </w:p>
        </w:tc>
      </w:tr>
    </w:tbl>
    <w:p w14:paraId="316E1F28">
      <w:pPr>
        <w:widowControl/>
        <w:spacing w:after="0" w:line="240" w:lineRule="auto"/>
        <w:jc w:val="center"/>
        <w:rPr>
          <w:rFonts w:eastAsia="仿宋"/>
          <w:b/>
          <w:sz w:val="32"/>
        </w:rPr>
      </w:pPr>
    </w:p>
    <w:p w14:paraId="64D2C73B">
      <w:pPr>
        <w:widowControl/>
        <w:spacing w:after="0" w:line="240" w:lineRule="auto"/>
        <w:jc w:val="center"/>
        <w:rPr>
          <w:rFonts w:eastAsia="仿宋"/>
          <w:b/>
          <w:sz w:val="32"/>
          <w:lang w:val="mn-MN"/>
        </w:rPr>
      </w:pPr>
      <w:r>
        <w:rPr>
          <w:rFonts w:eastAsia="仿宋"/>
          <w:b/>
          <w:sz w:val="32"/>
          <w:lang w:val="mn-MN"/>
        </w:rPr>
        <w:t>Тендер зарлагчтай холбоо барих болон хаяг</w:t>
      </w:r>
    </w:p>
    <w:p w14:paraId="118EF30E">
      <w:pPr>
        <w:widowControl/>
        <w:spacing w:after="0" w:line="240" w:lineRule="auto"/>
        <w:jc w:val="center"/>
        <w:rPr>
          <w:rFonts w:eastAsia="仿宋"/>
          <w:b/>
          <w:sz w:val="24"/>
          <w:lang w:val="mn-M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6"/>
        <w:gridCol w:w="4961"/>
      </w:tblGrid>
      <w:tr w14:paraId="3D7F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14:paraId="6CA9DDBE">
            <w:pPr>
              <w:widowControl/>
              <w:spacing w:after="0" w:line="240" w:lineRule="auto"/>
              <w:jc w:val="center"/>
              <w:rPr>
                <w:rFonts w:eastAsia="仿宋"/>
                <w:b/>
                <w:sz w:val="24"/>
                <w:lang w:val="mn-MN"/>
              </w:rPr>
            </w:pPr>
            <w:r>
              <w:rPr>
                <w:rFonts w:eastAsia="仿宋"/>
                <w:b/>
                <w:sz w:val="24"/>
                <w:lang w:val="mn-MN"/>
              </w:rPr>
              <w:t>№</w:t>
            </w:r>
          </w:p>
        </w:tc>
        <w:tc>
          <w:tcPr>
            <w:tcW w:w="3686" w:type="dxa"/>
            <w:vAlign w:val="center"/>
          </w:tcPr>
          <w:p w14:paraId="11875F46">
            <w:pPr>
              <w:widowControl/>
              <w:spacing w:after="0" w:line="240" w:lineRule="auto"/>
              <w:jc w:val="center"/>
              <w:rPr>
                <w:rFonts w:eastAsia="仿宋"/>
                <w:b/>
                <w:sz w:val="24"/>
                <w:lang w:val="mn-MN"/>
              </w:rPr>
            </w:pPr>
            <w:r>
              <w:rPr>
                <w:rFonts w:eastAsia="仿宋"/>
                <w:b/>
                <w:sz w:val="24"/>
                <w:lang w:val="mn-MN"/>
              </w:rPr>
              <w:t>Холбоо барих болон хаяг</w:t>
            </w:r>
          </w:p>
        </w:tc>
        <w:tc>
          <w:tcPr>
            <w:tcW w:w="4961" w:type="dxa"/>
            <w:vAlign w:val="center"/>
          </w:tcPr>
          <w:p w14:paraId="0A262A34">
            <w:pPr>
              <w:widowControl/>
              <w:spacing w:after="0" w:line="240" w:lineRule="auto"/>
              <w:jc w:val="center"/>
              <w:rPr>
                <w:rFonts w:eastAsia="仿宋"/>
                <w:b/>
                <w:sz w:val="24"/>
                <w:lang w:val="mn-MN"/>
              </w:rPr>
            </w:pPr>
            <w:r>
              <w:rPr>
                <w:rFonts w:eastAsia="仿宋"/>
                <w:b/>
                <w:sz w:val="24"/>
                <w:lang w:val="mn-MN"/>
              </w:rPr>
              <w:t>Тендер зарлагч</w:t>
            </w:r>
          </w:p>
        </w:tc>
      </w:tr>
      <w:tr w14:paraId="2E68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7" w:type="dxa"/>
            <w:vAlign w:val="center"/>
          </w:tcPr>
          <w:p w14:paraId="41B8EB4B">
            <w:pPr>
              <w:widowControl/>
              <w:spacing w:after="0" w:line="240" w:lineRule="auto"/>
              <w:jc w:val="center"/>
              <w:rPr>
                <w:rFonts w:eastAsia="仿宋"/>
                <w:sz w:val="24"/>
              </w:rPr>
            </w:pPr>
            <w:r>
              <w:rPr>
                <w:rFonts w:hint="eastAsia" w:eastAsia="仿宋"/>
                <w:sz w:val="24"/>
              </w:rPr>
              <w:t>1</w:t>
            </w:r>
          </w:p>
        </w:tc>
        <w:tc>
          <w:tcPr>
            <w:tcW w:w="3686" w:type="dxa"/>
            <w:vAlign w:val="center"/>
          </w:tcPr>
          <w:p w14:paraId="69E6E1C6">
            <w:pPr>
              <w:widowControl/>
              <w:spacing w:after="0" w:line="240" w:lineRule="auto"/>
              <w:jc w:val="center"/>
              <w:rPr>
                <w:rFonts w:eastAsia="仿宋"/>
                <w:sz w:val="24"/>
                <w:lang w:val="mn-MN"/>
              </w:rPr>
            </w:pPr>
            <w:r>
              <w:rPr>
                <w:rFonts w:eastAsia="仿宋"/>
                <w:sz w:val="24"/>
                <w:lang w:val="mn-MN"/>
              </w:rPr>
              <w:t>Нэр</w:t>
            </w:r>
          </w:p>
        </w:tc>
        <w:tc>
          <w:tcPr>
            <w:tcW w:w="4961" w:type="dxa"/>
            <w:vAlign w:val="center"/>
          </w:tcPr>
          <w:p w14:paraId="7CA7615F">
            <w:pPr>
              <w:widowControl/>
              <w:spacing w:after="0" w:line="240" w:lineRule="auto"/>
              <w:jc w:val="center"/>
              <w:rPr>
                <w:rFonts w:eastAsia="仿宋"/>
                <w:sz w:val="24"/>
                <w:lang w:val="mn-MN"/>
              </w:rPr>
            </w:pPr>
            <w:r>
              <w:rPr>
                <w:rFonts w:eastAsia="仿宋"/>
                <w:sz w:val="24"/>
                <w:lang w:val="mn-MN"/>
              </w:rPr>
              <w:t>Шинь Шинь ХХК</w:t>
            </w:r>
          </w:p>
        </w:tc>
      </w:tr>
      <w:tr w14:paraId="2C38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3B8664F">
            <w:pPr>
              <w:widowControl/>
              <w:spacing w:after="0" w:line="240" w:lineRule="auto"/>
              <w:jc w:val="center"/>
              <w:rPr>
                <w:rFonts w:eastAsia="仿宋"/>
                <w:sz w:val="24"/>
              </w:rPr>
            </w:pPr>
            <w:r>
              <w:rPr>
                <w:rFonts w:hint="eastAsia" w:eastAsia="仿宋"/>
                <w:sz w:val="24"/>
              </w:rPr>
              <w:t>2</w:t>
            </w:r>
          </w:p>
        </w:tc>
        <w:tc>
          <w:tcPr>
            <w:tcW w:w="3686" w:type="dxa"/>
            <w:vAlign w:val="center"/>
          </w:tcPr>
          <w:p w14:paraId="3CF37A33">
            <w:pPr>
              <w:widowControl/>
              <w:spacing w:after="0" w:line="240" w:lineRule="auto"/>
              <w:jc w:val="center"/>
              <w:rPr>
                <w:rFonts w:eastAsia="仿宋"/>
                <w:sz w:val="24"/>
                <w:lang w:val="mn-MN"/>
              </w:rPr>
            </w:pPr>
            <w:r>
              <w:rPr>
                <w:rFonts w:eastAsia="仿宋"/>
                <w:sz w:val="24"/>
                <w:lang w:val="mn-MN"/>
              </w:rPr>
              <w:t>Холбогдох хүн</w:t>
            </w:r>
          </w:p>
        </w:tc>
        <w:tc>
          <w:tcPr>
            <w:tcW w:w="4961" w:type="dxa"/>
            <w:vAlign w:val="center"/>
          </w:tcPr>
          <w:p w14:paraId="0F8C0087">
            <w:pPr>
              <w:widowControl/>
              <w:spacing w:after="0" w:line="240" w:lineRule="auto"/>
              <w:jc w:val="center"/>
              <w:rPr>
                <w:rFonts w:eastAsia="仿宋"/>
                <w:sz w:val="24"/>
                <w:lang w:val="mn-MN"/>
              </w:rPr>
            </w:pPr>
            <w:r>
              <w:rPr>
                <w:rFonts w:ascii="Times New Roman" w:hAnsi="Times New Roman" w:eastAsia="仿宋" w:cs="Times New Roman"/>
                <w:spacing w:val="-11"/>
                <w:sz w:val="28"/>
                <w:szCs w:val="28"/>
                <w:lang w:val="mn-MN" w:eastAsia="zh-CN"/>
              </w:rPr>
              <w:t>Буйр</w:t>
            </w:r>
          </w:p>
        </w:tc>
      </w:tr>
      <w:tr w14:paraId="772F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817" w:type="dxa"/>
            <w:vAlign w:val="center"/>
          </w:tcPr>
          <w:p w14:paraId="5639367D">
            <w:pPr>
              <w:widowControl/>
              <w:spacing w:after="0" w:line="240" w:lineRule="auto"/>
              <w:jc w:val="center"/>
              <w:rPr>
                <w:rFonts w:eastAsia="仿宋"/>
                <w:sz w:val="24"/>
              </w:rPr>
            </w:pPr>
            <w:r>
              <w:rPr>
                <w:rFonts w:hint="eastAsia" w:eastAsia="仿宋"/>
                <w:sz w:val="24"/>
              </w:rPr>
              <w:t>3</w:t>
            </w:r>
          </w:p>
        </w:tc>
        <w:tc>
          <w:tcPr>
            <w:tcW w:w="3686" w:type="dxa"/>
            <w:vAlign w:val="center"/>
          </w:tcPr>
          <w:p w14:paraId="1D349B1D">
            <w:pPr>
              <w:widowControl/>
              <w:spacing w:after="0" w:line="240" w:lineRule="auto"/>
              <w:jc w:val="center"/>
              <w:rPr>
                <w:rFonts w:eastAsia="仿宋"/>
                <w:sz w:val="24"/>
                <w:lang w:val="mn-MN"/>
              </w:rPr>
            </w:pPr>
            <w:r>
              <w:rPr>
                <w:rFonts w:eastAsia="仿宋"/>
                <w:sz w:val="24"/>
                <w:lang w:val="mn-MN"/>
              </w:rPr>
              <w:t>Утас</w:t>
            </w:r>
          </w:p>
        </w:tc>
        <w:tc>
          <w:tcPr>
            <w:tcW w:w="4961" w:type="dxa"/>
            <w:vAlign w:val="center"/>
          </w:tcPr>
          <w:p w14:paraId="63792BA6">
            <w:pPr>
              <w:widowControl/>
              <w:spacing w:after="0" w:line="240" w:lineRule="auto"/>
              <w:jc w:val="center"/>
              <w:rPr>
                <w:rFonts w:eastAsia="仿宋"/>
                <w:sz w:val="24"/>
              </w:rPr>
            </w:pPr>
            <w:r>
              <w:rPr>
                <w:rFonts w:hint="eastAsia" w:eastAsia="仿宋"/>
                <w:sz w:val="24"/>
              </w:rPr>
              <w:t>00976-</w:t>
            </w:r>
            <w:r>
              <w:rPr>
                <w:rFonts w:ascii="Times New Roman" w:hAnsi="Times New Roman" w:eastAsia="仿宋" w:cs="Times New Roman"/>
                <w:spacing w:val="-11"/>
                <w:sz w:val="28"/>
                <w:szCs w:val="28"/>
                <w:lang w:val="mn-MN" w:eastAsia="zh-CN"/>
              </w:rPr>
              <w:t xml:space="preserve">80332519 </w:t>
            </w:r>
            <w:r>
              <w:rPr>
                <w:rFonts w:ascii="Times New Roman" w:hAnsi="Times New Roman" w:eastAsia="仿宋" w:cs="Times New Roman"/>
                <w:spacing w:val="-11"/>
                <w:sz w:val="28"/>
                <w:szCs w:val="28"/>
                <w:cs/>
                <w:lang w:val="mn-MN" w:eastAsia="zh-CN"/>
              </w:rPr>
              <w:t>, 99941896</w:t>
            </w:r>
          </w:p>
        </w:tc>
      </w:tr>
      <w:tr w14:paraId="0F71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vAlign w:val="center"/>
          </w:tcPr>
          <w:p w14:paraId="6DA0D703">
            <w:pPr>
              <w:widowControl/>
              <w:spacing w:after="0" w:line="240" w:lineRule="auto"/>
              <w:jc w:val="center"/>
              <w:rPr>
                <w:rFonts w:eastAsia="仿宋"/>
                <w:sz w:val="24"/>
              </w:rPr>
            </w:pPr>
            <w:r>
              <w:rPr>
                <w:rFonts w:hint="eastAsia" w:eastAsia="仿宋"/>
                <w:sz w:val="24"/>
              </w:rPr>
              <w:t>4</w:t>
            </w:r>
          </w:p>
        </w:tc>
        <w:tc>
          <w:tcPr>
            <w:tcW w:w="3686" w:type="dxa"/>
            <w:vAlign w:val="center"/>
          </w:tcPr>
          <w:p w14:paraId="4587B232">
            <w:pPr>
              <w:widowControl/>
              <w:spacing w:after="0" w:line="240" w:lineRule="auto"/>
              <w:jc w:val="center"/>
              <w:rPr>
                <w:rFonts w:eastAsia="仿宋"/>
                <w:sz w:val="24"/>
                <w:lang w:val="mn-MN"/>
              </w:rPr>
            </w:pPr>
            <w:r>
              <w:rPr>
                <w:rFonts w:eastAsia="仿宋"/>
                <w:sz w:val="24"/>
                <w:lang w:val="mn-MN"/>
              </w:rPr>
              <w:t>Факс</w:t>
            </w:r>
          </w:p>
        </w:tc>
        <w:tc>
          <w:tcPr>
            <w:tcW w:w="4961" w:type="dxa"/>
            <w:vAlign w:val="center"/>
          </w:tcPr>
          <w:p w14:paraId="5F8D8CE2">
            <w:pPr>
              <w:widowControl/>
              <w:spacing w:after="0" w:line="240" w:lineRule="auto"/>
              <w:jc w:val="center"/>
              <w:rPr>
                <w:rFonts w:eastAsia="仿宋"/>
                <w:sz w:val="24"/>
              </w:rPr>
            </w:pPr>
          </w:p>
        </w:tc>
      </w:tr>
      <w:tr w14:paraId="50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2107223">
            <w:pPr>
              <w:widowControl/>
              <w:spacing w:after="0" w:line="240" w:lineRule="auto"/>
              <w:jc w:val="center"/>
              <w:rPr>
                <w:rFonts w:eastAsia="仿宋"/>
                <w:sz w:val="24"/>
              </w:rPr>
            </w:pPr>
            <w:r>
              <w:rPr>
                <w:rFonts w:hint="eastAsia" w:eastAsia="仿宋"/>
                <w:sz w:val="24"/>
              </w:rPr>
              <w:t>5</w:t>
            </w:r>
          </w:p>
        </w:tc>
        <w:tc>
          <w:tcPr>
            <w:tcW w:w="3686" w:type="dxa"/>
            <w:vAlign w:val="center"/>
          </w:tcPr>
          <w:p w14:paraId="1E653B6D">
            <w:pPr>
              <w:widowControl/>
              <w:spacing w:after="0" w:line="240" w:lineRule="auto"/>
              <w:jc w:val="center"/>
              <w:rPr>
                <w:rFonts w:eastAsia="仿宋"/>
                <w:sz w:val="24"/>
                <w:lang w:val="mn-MN"/>
              </w:rPr>
            </w:pPr>
            <w:r>
              <w:rPr>
                <w:rFonts w:eastAsia="仿宋"/>
                <w:sz w:val="24"/>
                <w:lang w:val="mn-MN"/>
              </w:rPr>
              <w:t>И-мэйл хаяг</w:t>
            </w:r>
          </w:p>
        </w:tc>
        <w:tc>
          <w:tcPr>
            <w:tcW w:w="4961" w:type="dxa"/>
            <w:vAlign w:val="center"/>
          </w:tcPr>
          <w:p w14:paraId="2490A3FB">
            <w:pPr>
              <w:widowControl/>
              <w:spacing w:after="0" w:line="240" w:lineRule="auto"/>
              <w:jc w:val="center"/>
              <w:rPr>
                <w:rFonts w:eastAsia="仿宋"/>
                <w:sz w:val="24"/>
              </w:rPr>
            </w:pPr>
            <w:r>
              <w:rPr>
                <w:rFonts w:eastAsia="仿宋"/>
                <w:sz w:val="24"/>
              </w:rPr>
              <w:t>xinxinoffice@gmail.com</w:t>
            </w:r>
          </w:p>
        </w:tc>
      </w:tr>
      <w:tr w14:paraId="5EF6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61918FD">
            <w:pPr>
              <w:widowControl/>
              <w:spacing w:after="0" w:line="240" w:lineRule="auto"/>
              <w:jc w:val="center"/>
              <w:rPr>
                <w:rFonts w:eastAsia="仿宋"/>
                <w:sz w:val="24"/>
              </w:rPr>
            </w:pPr>
            <w:r>
              <w:rPr>
                <w:rFonts w:hint="eastAsia" w:eastAsia="仿宋"/>
                <w:sz w:val="24"/>
              </w:rPr>
              <w:t>6</w:t>
            </w:r>
          </w:p>
        </w:tc>
        <w:tc>
          <w:tcPr>
            <w:tcW w:w="3686" w:type="dxa"/>
            <w:vAlign w:val="center"/>
          </w:tcPr>
          <w:p w14:paraId="1BA13F8A">
            <w:pPr>
              <w:widowControl/>
              <w:spacing w:after="0" w:line="240" w:lineRule="auto"/>
              <w:jc w:val="center"/>
              <w:rPr>
                <w:rFonts w:eastAsia="仿宋"/>
                <w:sz w:val="24"/>
                <w:lang w:val="mn-MN"/>
              </w:rPr>
            </w:pPr>
            <w:r>
              <w:rPr>
                <w:rFonts w:eastAsia="仿宋"/>
                <w:sz w:val="24"/>
                <w:lang w:val="mn-MN"/>
              </w:rPr>
              <w:t>Хаяг</w:t>
            </w:r>
          </w:p>
        </w:tc>
        <w:tc>
          <w:tcPr>
            <w:tcW w:w="4961" w:type="dxa"/>
            <w:vAlign w:val="center"/>
          </w:tcPr>
          <w:p w14:paraId="5689AD47">
            <w:pPr>
              <w:widowControl/>
              <w:spacing w:after="0" w:line="240" w:lineRule="auto"/>
              <w:jc w:val="center"/>
              <w:rPr>
                <w:rFonts w:eastAsia="仿宋"/>
                <w:sz w:val="24"/>
                <w:lang w:val="mn-MN"/>
              </w:rPr>
            </w:pPr>
            <w:r>
              <w:rPr>
                <w:rFonts w:eastAsia="仿宋"/>
                <w:sz w:val="24"/>
                <w:lang w:val="mn-MN"/>
              </w:rPr>
              <w:t xml:space="preserve">Монгол улс, Дашбалбар сум Шинь Шинь ХХК Улааны уурхай </w:t>
            </w:r>
          </w:p>
        </w:tc>
      </w:tr>
      <w:tr w14:paraId="686A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B0C757C">
            <w:pPr>
              <w:widowControl/>
              <w:spacing w:after="0" w:line="240" w:lineRule="auto"/>
              <w:jc w:val="center"/>
              <w:rPr>
                <w:rFonts w:eastAsia="仿宋"/>
                <w:sz w:val="24"/>
              </w:rPr>
            </w:pPr>
            <w:r>
              <w:rPr>
                <w:rFonts w:hint="eastAsia" w:eastAsia="仿宋"/>
                <w:sz w:val="24"/>
              </w:rPr>
              <w:t>7</w:t>
            </w:r>
          </w:p>
        </w:tc>
        <w:tc>
          <w:tcPr>
            <w:tcW w:w="3686" w:type="dxa"/>
            <w:vAlign w:val="center"/>
          </w:tcPr>
          <w:p w14:paraId="2F6B206F">
            <w:pPr>
              <w:widowControl/>
              <w:spacing w:after="0" w:line="240" w:lineRule="auto"/>
              <w:jc w:val="center"/>
              <w:rPr>
                <w:rFonts w:eastAsia="仿宋"/>
                <w:sz w:val="24"/>
                <w:lang w:val="mn-MN"/>
              </w:rPr>
            </w:pPr>
            <w:r>
              <w:rPr>
                <w:rFonts w:eastAsia="仿宋"/>
                <w:sz w:val="24"/>
                <w:lang w:val="mn-MN"/>
              </w:rPr>
              <w:t>Банкны нэр</w:t>
            </w:r>
          </w:p>
        </w:tc>
        <w:tc>
          <w:tcPr>
            <w:tcW w:w="4961" w:type="dxa"/>
            <w:vAlign w:val="center"/>
          </w:tcPr>
          <w:p w14:paraId="6EE0C93A">
            <w:pPr>
              <w:widowControl/>
              <w:spacing w:after="0" w:line="240" w:lineRule="auto"/>
              <w:jc w:val="center"/>
              <w:rPr>
                <w:rFonts w:eastAsia="仿宋"/>
                <w:sz w:val="24"/>
                <w:lang w:val="mn-MN"/>
              </w:rPr>
            </w:pPr>
            <w:r>
              <w:rPr>
                <w:rFonts w:eastAsia="仿宋"/>
                <w:sz w:val="24"/>
                <w:lang w:val="mn-MN"/>
              </w:rPr>
              <w:t>Голомт банк Дорнод салбар</w:t>
            </w:r>
          </w:p>
        </w:tc>
      </w:tr>
      <w:tr w14:paraId="72A7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B50C83">
            <w:pPr>
              <w:widowControl/>
              <w:spacing w:after="0" w:line="240" w:lineRule="auto"/>
              <w:jc w:val="center"/>
              <w:rPr>
                <w:rFonts w:eastAsia="仿宋"/>
                <w:sz w:val="24"/>
              </w:rPr>
            </w:pPr>
            <w:r>
              <w:rPr>
                <w:rFonts w:hint="eastAsia" w:eastAsia="仿宋"/>
                <w:sz w:val="24"/>
              </w:rPr>
              <w:t>8</w:t>
            </w:r>
          </w:p>
        </w:tc>
        <w:tc>
          <w:tcPr>
            <w:tcW w:w="3686" w:type="dxa"/>
            <w:vAlign w:val="center"/>
          </w:tcPr>
          <w:p w14:paraId="56839E34">
            <w:pPr>
              <w:widowControl/>
              <w:spacing w:after="0" w:line="240" w:lineRule="auto"/>
              <w:jc w:val="center"/>
              <w:rPr>
                <w:rFonts w:eastAsia="仿宋"/>
                <w:sz w:val="24"/>
                <w:lang w:val="mn-MN"/>
              </w:rPr>
            </w:pPr>
            <w:r>
              <w:rPr>
                <w:rFonts w:eastAsia="仿宋"/>
                <w:sz w:val="24"/>
                <w:lang w:val="mn-MN"/>
              </w:rPr>
              <w:t>Данс</w:t>
            </w:r>
          </w:p>
        </w:tc>
        <w:tc>
          <w:tcPr>
            <w:tcW w:w="4961" w:type="dxa"/>
            <w:vAlign w:val="center"/>
          </w:tcPr>
          <w:p w14:paraId="250AC79D">
            <w:pPr>
              <w:widowControl/>
              <w:spacing w:after="0" w:line="240" w:lineRule="auto"/>
              <w:jc w:val="center"/>
              <w:rPr>
                <w:rFonts w:eastAsia="仿宋"/>
                <w:sz w:val="24"/>
              </w:rPr>
            </w:pPr>
            <w:r>
              <w:rPr>
                <w:rFonts w:eastAsia="仿宋"/>
                <w:sz w:val="24"/>
              </w:rPr>
              <w:t>47050 05224</w:t>
            </w:r>
          </w:p>
        </w:tc>
      </w:tr>
    </w:tbl>
    <w:p w14:paraId="15311D92">
      <w:pPr>
        <w:widowControl/>
        <w:spacing w:after="0" w:line="240" w:lineRule="auto"/>
        <w:jc w:val="center"/>
        <w:rPr>
          <w:rFonts w:eastAsia="仿宋"/>
          <w:b/>
          <w:bCs/>
          <w:sz w:val="24"/>
        </w:rPr>
      </w:pPr>
    </w:p>
    <w:p w14:paraId="3A199301">
      <w:pPr>
        <w:widowControl/>
        <w:spacing w:after="0" w:line="240" w:lineRule="auto"/>
        <w:jc w:val="center"/>
        <w:rPr>
          <w:rFonts w:eastAsia="仿宋"/>
          <w:b/>
          <w:bCs/>
          <w:sz w:val="24"/>
          <w:lang w:val="mn-MN"/>
        </w:rPr>
      </w:pPr>
    </w:p>
    <w:p w14:paraId="6FB85902">
      <w:pPr>
        <w:widowControl/>
        <w:spacing w:after="0" w:line="240" w:lineRule="auto"/>
        <w:jc w:val="center"/>
        <w:rPr>
          <w:rFonts w:eastAsia="仿宋"/>
          <w:b/>
          <w:bCs/>
          <w:sz w:val="24"/>
          <w:lang w:val="mn-MN"/>
        </w:rPr>
      </w:pPr>
    </w:p>
    <w:p w14:paraId="6C690729">
      <w:pPr>
        <w:widowControl/>
        <w:spacing w:after="0" w:line="240" w:lineRule="auto"/>
        <w:jc w:val="center"/>
        <w:rPr>
          <w:rFonts w:eastAsia="仿宋"/>
          <w:b/>
          <w:bCs/>
          <w:sz w:val="24"/>
          <w:lang w:val="mn-MN"/>
        </w:rPr>
      </w:pPr>
    </w:p>
    <w:p w14:paraId="387FE531">
      <w:pPr>
        <w:widowControl/>
        <w:spacing w:after="0" w:line="240" w:lineRule="auto"/>
        <w:jc w:val="center"/>
        <w:rPr>
          <w:rFonts w:eastAsia="仿宋"/>
          <w:b/>
          <w:bCs/>
          <w:sz w:val="32"/>
          <w:lang w:val="mn-MN"/>
        </w:rPr>
      </w:pPr>
      <w:r>
        <w:rPr>
          <w:rFonts w:eastAsia="仿宋"/>
          <w:b/>
          <w:bCs/>
          <w:sz w:val="32"/>
          <w:lang w:val="mn-MN"/>
        </w:rPr>
        <w:t xml:space="preserve">Гарчиг </w:t>
      </w:r>
    </w:p>
    <w:p w14:paraId="280B6640">
      <w:pPr>
        <w:widowControl/>
        <w:spacing w:after="0" w:line="240" w:lineRule="auto"/>
        <w:jc w:val="center"/>
        <w:rPr>
          <w:rFonts w:eastAsia="仿宋"/>
          <w:sz w:val="28"/>
        </w:rPr>
      </w:pPr>
    </w:p>
    <w:p w14:paraId="1FE62FD7">
      <w:pPr>
        <w:widowControl/>
        <w:spacing w:after="0" w:line="240" w:lineRule="auto"/>
        <w:jc w:val="center"/>
        <w:rPr>
          <w:rFonts w:eastAsia="仿宋"/>
          <w:b/>
          <w:sz w:val="28"/>
          <w:lang w:val="mn-MN"/>
        </w:rPr>
      </w:pPr>
      <w:r>
        <w:rPr>
          <w:rFonts w:eastAsia="仿宋"/>
          <w:b/>
          <w:sz w:val="28"/>
          <w:lang w:val="mn-MN"/>
        </w:rPr>
        <w:t xml:space="preserve">Нэгдүгээр бүлэг. </w:t>
      </w:r>
    </w:p>
    <w:p w14:paraId="274FA071">
      <w:pPr>
        <w:widowControl/>
        <w:spacing w:after="0" w:line="240" w:lineRule="auto"/>
        <w:rPr>
          <w:rFonts w:eastAsia="仿宋"/>
          <w:sz w:val="28"/>
        </w:rPr>
      </w:pPr>
      <w:r>
        <w:rPr>
          <w:rFonts w:eastAsia="仿宋"/>
          <w:sz w:val="28"/>
          <w:lang w:val="mn-MN"/>
        </w:rPr>
        <w:t>Тендер шалгаруулалтын заавар болон тендерийн өмнөх хавсралт.................2</w:t>
      </w:r>
    </w:p>
    <w:p w14:paraId="774C6405">
      <w:pPr>
        <w:widowControl/>
        <w:spacing w:after="0" w:line="240" w:lineRule="auto"/>
        <w:rPr>
          <w:rFonts w:eastAsia="仿宋"/>
          <w:sz w:val="28"/>
        </w:rPr>
      </w:pPr>
      <w:r>
        <w:rPr>
          <w:rFonts w:eastAsia="仿宋"/>
          <w:sz w:val="28"/>
          <w:lang w:val="mn-MN"/>
        </w:rPr>
        <w:t xml:space="preserve">Тендерийн үнэлгээний арга </w:t>
      </w:r>
      <w:r>
        <w:rPr>
          <w:rFonts w:eastAsia="仿宋"/>
          <w:sz w:val="28"/>
        </w:rPr>
        <w:t>…</w:t>
      </w:r>
      <w:r>
        <w:rPr>
          <w:rFonts w:eastAsia="仿宋"/>
          <w:sz w:val="28"/>
          <w:lang w:val="mn-MN"/>
        </w:rPr>
        <w:t>...........................................................................12</w:t>
      </w:r>
    </w:p>
    <w:p w14:paraId="0BF8C034">
      <w:pPr>
        <w:widowControl/>
        <w:spacing w:after="0" w:line="240" w:lineRule="auto"/>
        <w:jc w:val="center"/>
        <w:rPr>
          <w:rFonts w:eastAsia="仿宋"/>
          <w:b/>
          <w:sz w:val="28"/>
          <w:lang w:val="mn-MN"/>
        </w:rPr>
      </w:pPr>
      <w:r>
        <w:rPr>
          <w:rFonts w:eastAsia="仿宋"/>
          <w:b/>
          <w:sz w:val="28"/>
          <w:lang w:val="mn-MN"/>
        </w:rPr>
        <w:t>Хоёрдугаар бүлэг</w:t>
      </w:r>
    </w:p>
    <w:p w14:paraId="2E742579">
      <w:pPr>
        <w:widowControl/>
        <w:spacing w:after="0" w:line="240" w:lineRule="auto"/>
        <w:rPr>
          <w:rFonts w:eastAsia="仿宋"/>
          <w:sz w:val="28"/>
        </w:rPr>
      </w:pPr>
      <w:r>
        <w:rPr>
          <w:rFonts w:eastAsia="仿宋"/>
          <w:sz w:val="28"/>
          <w:lang w:val="mn-MN"/>
        </w:rPr>
        <w:t>Гэрээний заалт ....................................................................................................20</w:t>
      </w:r>
    </w:p>
    <w:p w14:paraId="14D8910F">
      <w:pPr>
        <w:widowControl/>
        <w:spacing w:after="0" w:line="240" w:lineRule="auto"/>
        <w:rPr>
          <w:rFonts w:eastAsia="仿宋"/>
          <w:sz w:val="28"/>
        </w:rPr>
      </w:pPr>
      <w:r>
        <w:rPr>
          <w:rFonts w:eastAsia="仿宋"/>
          <w:sz w:val="28"/>
          <w:lang w:val="mn-MN"/>
        </w:rPr>
        <w:t>Гэрээний баримт бичгийн загвар ......................................................................27</w:t>
      </w:r>
    </w:p>
    <w:p w14:paraId="161AB7EE">
      <w:pPr>
        <w:widowControl/>
        <w:spacing w:after="0" w:line="240" w:lineRule="auto"/>
        <w:jc w:val="center"/>
        <w:rPr>
          <w:rFonts w:eastAsia="仿宋"/>
          <w:sz w:val="28"/>
          <w:u w:val="single"/>
        </w:rPr>
      </w:pPr>
    </w:p>
    <w:p w14:paraId="452D808E">
      <w:pPr>
        <w:widowControl/>
        <w:spacing w:after="0" w:line="240" w:lineRule="auto"/>
        <w:jc w:val="center"/>
        <w:rPr>
          <w:rFonts w:eastAsia="仿宋"/>
          <w:bCs/>
          <w:sz w:val="28"/>
          <w:u w:val="single"/>
        </w:rPr>
      </w:pPr>
    </w:p>
    <w:p w14:paraId="72689CB1">
      <w:pPr>
        <w:widowControl/>
        <w:spacing w:after="0" w:line="240" w:lineRule="auto"/>
        <w:jc w:val="center"/>
        <w:rPr>
          <w:rFonts w:eastAsia="仿宋"/>
          <w:bCs/>
          <w:sz w:val="28"/>
          <w:u w:val="single"/>
        </w:rPr>
      </w:pPr>
    </w:p>
    <w:p w14:paraId="0B0F8DCC">
      <w:pPr>
        <w:widowControl/>
        <w:spacing w:after="0" w:line="240" w:lineRule="auto"/>
        <w:jc w:val="center"/>
        <w:rPr>
          <w:rFonts w:eastAsia="仿宋"/>
          <w:sz w:val="28"/>
        </w:rPr>
      </w:pPr>
    </w:p>
    <w:p w14:paraId="5A6C8BA9">
      <w:pPr>
        <w:widowControl/>
        <w:spacing w:after="0" w:line="240" w:lineRule="auto"/>
        <w:jc w:val="center"/>
        <w:rPr>
          <w:rFonts w:eastAsia="仿宋"/>
          <w:b/>
          <w:sz w:val="24"/>
        </w:rPr>
      </w:pPr>
    </w:p>
    <w:p w14:paraId="16FBD3FA">
      <w:pPr>
        <w:widowControl/>
        <w:spacing w:after="0" w:line="240" w:lineRule="auto"/>
        <w:jc w:val="center"/>
        <w:rPr>
          <w:rFonts w:eastAsia="仿宋"/>
          <w:b/>
          <w:sz w:val="24"/>
        </w:rPr>
      </w:pPr>
    </w:p>
    <w:p w14:paraId="445228E2">
      <w:pPr>
        <w:widowControl/>
        <w:spacing w:after="0" w:line="240" w:lineRule="auto"/>
        <w:jc w:val="center"/>
        <w:rPr>
          <w:rFonts w:eastAsia="仿宋"/>
          <w:b/>
          <w:sz w:val="24"/>
        </w:rPr>
      </w:pPr>
    </w:p>
    <w:p w14:paraId="695E5959">
      <w:pPr>
        <w:widowControl/>
        <w:spacing w:after="0" w:line="240" w:lineRule="auto"/>
        <w:jc w:val="center"/>
        <w:rPr>
          <w:rFonts w:eastAsia="仿宋"/>
          <w:b/>
          <w:sz w:val="24"/>
        </w:rPr>
      </w:pPr>
    </w:p>
    <w:p w14:paraId="31DE9BD0">
      <w:pPr>
        <w:widowControl/>
        <w:spacing w:after="0" w:line="240" w:lineRule="auto"/>
        <w:jc w:val="center"/>
        <w:rPr>
          <w:rFonts w:eastAsia="仿宋"/>
          <w:b/>
          <w:sz w:val="24"/>
        </w:rPr>
      </w:pPr>
    </w:p>
    <w:p w14:paraId="5FC19AFD">
      <w:pPr>
        <w:widowControl/>
        <w:spacing w:after="0" w:line="240" w:lineRule="auto"/>
        <w:jc w:val="center"/>
        <w:rPr>
          <w:rFonts w:eastAsia="仿宋"/>
          <w:b/>
          <w:sz w:val="24"/>
        </w:rPr>
      </w:pPr>
    </w:p>
    <w:p w14:paraId="2F7A68EA">
      <w:pPr>
        <w:widowControl/>
        <w:spacing w:after="0" w:line="240" w:lineRule="auto"/>
        <w:jc w:val="center"/>
        <w:rPr>
          <w:rFonts w:eastAsia="仿宋"/>
          <w:b/>
          <w:sz w:val="24"/>
        </w:rPr>
      </w:pPr>
    </w:p>
    <w:p w14:paraId="1559BCD5">
      <w:pPr>
        <w:widowControl/>
        <w:spacing w:after="0" w:line="240" w:lineRule="auto"/>
        <w:jc w:val="center"/>
        <w:rPr>
          <w:rFonts w:eastAsia="仿宋"/>
          <w:b/>
          <w:sz w:val="24"/>
        </w:rPr>
      </w:pPr>
    </w:p>
    <w:p w14:paraId="525BB7BA">
      <w:pPr>
        <w:widowControl/>
        <w:spacing w:after="0" w:line="240" w:lineRule="auto"/>
        <w:jc w:val="center"/>
        <w:rPr>
          <w:rFonts w:eastAsia="仿宋"/>
          <w:b/>
          <w:sz w:val="24"/>
        </w:rPr>
      </w:pPr>
    </w:p>
    <w:p w14:paraId="65FA838C">
      <w:pPr>
        <w:widowControl/>
        <w:spacing w:after="0" w:line="240" w:lineRule="auto"/>
        <w:jc w:val="center"/>
        <w:rPr>
          <w:rFonts w:eastAsia="仿宋"/>
          <w:b/>
          <w:sz w:val="24"/>
        </w:rPr>
      </w:pPr>
    </w:p>
    <w:p w14:paraId="495E7450">
      <w:pPr>
        <w:widowControl/>
        <w:spacing w:after="0" w:line="240" w:lineRule="auto"/>
        <w:jc w:val="center"/>
        <w:rPr>
          <w:rFonts w:eastAsia="仿宋"/>
          <w:b/>
          <w:sz w:val="24"/>
        </w:rPr>
      </w:pPr>
    </w:p>
    <w:p w14:paraId="362646BD">
      <w:pPr>
        <w:widowControl/>
        <w:spacing w:after="0" w:line="240" w:lineRule="auto"/>
        <w:jc w:val="center"/>
        <w:rPr>
          <w:rFonts w:eastAsia="仿宋"/>
          <w:b/>
          <w:sz w:val="24"/>
        </w:rPr>
      </w:pPr>
    </w:p>
    <w:p w14:paraId="73267084">
      <w:pPr>
        <w:widowControl/>
        <w:spacing w:after="0" w:line="240" w:lineRule="auto"/>
        <w:jc w:val="center"/>
        <w:rPr>
          <w:rFonts w:eastAsia="仿宋"/>
          <w:b/>
          <w:sz w:val="24"/>
        </w:rPr>
      </w:pPr>
    </w:p>
    <w:p w14:paraId="1764C7A6">
      <w:pPr>
        <w:widowControl/>
        <w:spacing w:after="0" w:line="240" w:lineRule="auto"/>
        <w:jc w:val="center"/>
        <w:rPr>
          <w:rFonts w:eastAsia="仿宋"/>
          <w:b/>
          <w:sz w:val="24"/>
        </w:rPr>
      </w:pPr>
    </w:p>
    <w:p w14:paraId="487DB331">
      <w:pPr>
        <w:widowControl/>
        <w:spacing w:after="0" w:line="240" w:lineRule="auto"/>
        <w:jc w:val="center"/>
        <w:rPr>
          <w:rFonts w:eastAsia="仿宋"/>
          <w:b/>
          <w:sz w:val="24"/>
        </w:rPr>
      </w:pPr>
    </w:p>
    <w:p w14:paraId="797AC4D6">
      <w:pPr>
        <w:widowControl/>
        <w:spacing w:after="0" w:line="240" w:lineRule="auto"/>
        <w:jc w:val="center"/>
        <w:rPr>
          <w:rFonts w:eastAsia="仿宋"/>
          <w:b/>
          <w:sz w:val="24"/>
        </w:rPr>
      </w:pPr>
    </w:p>
    <w:p w14:paraId="4427BBDC">
      <w:pPr>
        <w:widowControl/>
        <w:spacing w:after="0" w:line="240" w:lineRule="auto"/>
        <w:jc w:val="center"/>
        <w:rPr>
          <w:rFonts w:eastAsia="仿宋"/>
          <w:b/>
          <w:sz w:val="24"/>
        </w:rPr>
      </w:pPr>
    </w:p>
    <w:p w14:paraId="1EEB74D3">
      <w:pPr>
        <w:widowControl/>
        <w:spacing w:after="0" w:line="240" w:lineRule="auto"/>
        <w:jc w:val="center"/>
        <w:rPr>
          <w:rFonts w:eastAsia="仿宋"/>
          <w:b/>
          <w:sz w:val="24"/>
        </w:rPr>
      </w:pPr>
    </w:p>
    <w:p w14:paraId="789C3956">
      <w:pPr>
        <w:widowControl/>
        <w:spacing w:after="0" w:line="240" w:lineRule="auto"/>
        <w:jc w:val="center"/>
        <w:rPr>
          <w:rFonts w:eastAsia="仿宋"/>
          <w:b/>
          <w:sz w:val="24"/>
        </w:rPr>
      </w:pPr>
    </w:p>
    <w:p w14:paraId="5B9BC94D">
      <w:pPr>
        <w:widowControl/>
        <w:spacing w:after="0" w:line="240" w:lineRule="auto"/>
        <w:jc w:val="center"/>
        <w:rPr>
          <w:rFonts w:eastAsia="仿宋"/>
          <w:b/>
          <w:sz w:val="24"/>
        </w:rPr>
      </w:pPr>
    </w:p>
    <w:p w14:paraId="08266092">
      <w:pPr>
        <w:widowControl/>
        <w:spacing w:after="0" w:line="240" w:lineRule="auto"/>
        <w:jc w:val="center"/>
        <w:rPr>
          <w:rFonts w:eastAsia="仿宋"/>
          <w:b/>
          <w:sz w:val="24"/>
        </w:rPr>
      </w:pPr>
    </w:p>
    <w:p w14:paraId="7CCF9615">
      <w:pPr>
        <w:widowControl/>
        <w:spacing w:after="0" w:line="240" w:lineRule="auto"/>
        <w:jc w:val="center"/>
        <w:rPr>
          <w:rFonts w:eastAsia="仿宋"/>
          <w:b/>
          <w:sz w:val="24"/>
        </w:rPr>
      </w:pPr>
    </w:p>
    <w:p w14:paraId="30FEB7AE">
      <w:pPr>
        <w:widowControl/>
        <w:spacing w:after="0" w:line="240" w:lineRule="auto"/>
        <w:jc w:val="center"/>
        <w:rPr>
          <w:rFonts w:eastAsia="仿宋"/>
          <w:b/>
          <w:sz w:val="24"/>
        </w:rPr>
      </w:pPr>
    </w:p>
    <w:p w14:paraId="7E53BC4D">
      <w:pPr>
        <w:widowControl/>
        <w:spacing w:after="0" w:line="240" w:lineRule="auto"/>
        <w:jc w:val="center"/>
        <w:rPr>
          <w:rFonts w:eastAsia="仿宋"/>
          <w:b/>
          <w:sz w:val="24"/>
        </w:rPr>
      </w:pPr>
    </w:p>
    <w:p w14:paraId="4C2050F3">
      <w:pPr>
        <w:widowControl/>
        <w:spacing w:after="0" w:line="240" w:lineRule="auto"/>
        <w:jc w:val="center"/>
        <w:rPr>
          <w:rFonts w:eastAsia="仿宋"/>
          <w:b/>
          <w:sz w:val="24"/>
        </w:rPr>
      </w:pPr>
    </w:p>
    <w:p w14:paraId="6ADC5E7C">
      <w:pPr>
        <w:widowControl/>
        <w:spacing w:after="0" w:line="240" w:lineRule="auto"/>
        <w:jc w:val="center"/>
        <w:rPr>
          <w:rFonts w:eastAsia="仿宋"/>
          <w:b/>
          <w:sz w:val="24"/>
        </w:rPr>
      </w:pPr>
    </w:p>
    <w:p w14:paraId="3AFC316A">
      <w:pPr>
        <w:widowControl/>
        <w:spacing w:after="0" w:line="240" w:lineRule="auto"/>
        <w:jc w:val="center"/>
        <w:rPr>
          <w:rFonts w:eastAsia="仿宋"/>
          <w:b/>
          <w:sz w:val="24"/>
        </w:rPr>
      </w:pPr>
    </w:p>
    <w:p w14:paraId="7C7DD9E0">
      <w:pPr>
        <w:widowControl/>
        <w:spacing w:after="0" w:line="240" w:lineRule="auto"/>
        <w:jc w:val="center"/>
        <w:rPr>
          <w:rFonts w:eastAsia="仿宋"/>
          <w:b/>
          <w:sz w:val="24"/>
        </w:rPr>
      </w:pPr>
    </w:p>
    <w:p w14:paraId="1F102B90">
      <w:pPr>
        <w:widowControl/>
        <w:spacing w:after="0" w:line="240" w:lineRule="auto"/>
        <w:jc w:val="center"/>
        <w:rPr>
          <w:rFonts w:eastAsia="仿宋"/>
          <w:b/>
          <w:sz w:val="24"/>
        </w:rPr>
      </w:pPr>
    </w:p>
    <w:p w14:paraId="46AF729D">
      <w:pPr>
        <w:widowControl/>
        <w:spacing w:after="0" w:line="240" w:lineRule="auto"/>
        <w:jc w:val="center"/>
        <w:rPr>
          <w:rFonts w:eastAsia="仿宋"/>
          <w:b/>
          <w:sz w:val="24"/>
        </w:rPr>
      </w:pPr>
    </w:p>
    <w:p w14:paraId="3EFF19FB">
      <w:pPr>
        <w:widowControl/>
        <w:spacing w:after="0" w:line="240" w:lineRule="auto"/>
        <w:jc w:val="center"/>
        <w:rPr>
          <w:rFonts w:eastAsia="仿宋"/>
          <w:b/>
          <w:sz w:val="24"/>
        </w:rPr>
        <w:sectPr>
          <w:footerReference r:id="rId5" w:type="default"/>
          <w:pgSz w:w="11906" w:h="16838"/>
          <w:pgMar w:top="1247" w:right="1247" w:bottom="1247" w:left="1247" w:header="851" w:footer="992" w:gutter="0"/>
          <w:pgNumType w:fmt="numberInDash" w:start="1"/>
          <w:cols w:space="720" w:num="1"/>
          <w:docGrid w:linePitch="312" w:charSpace="0"/>
        </w:sectPr>
      </w:pPr>
    </w:p>
    <w:p w14:paraId="06EDF63A">
      <w:pPr>
        <w:widowControl/>
        <w:spacing w:after="0" w:line="120" w:lineRule="auto"/>
        <w:jc w:val="center"/>
        <w:rPr>
          <w:rFonts w:eastAsia="仿宋"/>
          <w:b/>
          <w:sz w:val="32"/>
          <w:lang w:val="mn-MN"/>
        </w:rPr>
      </w:pPr>
      <w:bookmarkStart w:id="0" w:name="_Toc475362020"/>
      <w:bookmarkStart w:id="1" w:name="_Toc380994273"/>
      <w:r>
        <w:rPr>
          <w:rFonts w:eastAsia="仿宋"/>
          <w:b/>
          <w:bCs/>
          <w:sz w:val="32"/>
          <w:lang w:val="mn-MN"/>
        </w:rPr>
        <w:t>Нэгдүгээр бүлэг. Тендер шалгаруулалтын заавар болон тендерийн өмнөх хавсралт</w:t>
      </w:r>
      <w:bookmarkEnd w:id="0"/>
      <w:bookmarkEnd w:id="1"/>
    </w:p>
    <w:p w14:paraId="5490E48C">
      <w:pPr>
        <w:widowControl/>
        <w:spacing w:after="0" w:line="240" w:lineRule="auto"/>
        <w:jc w:val="center"/>
        <w:rPr>
          <w:rFonts w:eastAsia="仿宋"/>
          <w:b/>
          <w:sz w:val="24"/>
          <w:lang w:val="mn-MN"/>
        </w:rPr>
      </w:pPr>
      <w:r>
        <w:rPr>
          <w:rFonts w:eastAsia="仿宋"/>
          <w:b/>
          <w:sz w:val="28"/>
          <w:lang w:val="mn-MN"/>
        </w:rPr>
        <w:t>Нэг. Тендерийн өмнөх хавсралт хүснэгт</w:t>
      </w:r>
    </w:p>
    <w:p w14:paraId="12D77D66">
      <w:pPr>
        <w:widowControl/>
        <w:spacing w:after="0" w:line="240" w:lineRule="auto"/>
        <w:jc w:val="center"/>
        <w:rPr>
          <w:rFonts w:eastAsia="仿宋"/>
          <w:b/>
          <w:bCs/>
          <w:sz w:val="24"/>
          <w:lang w:val="mn-MN"/>
        </w:rPr>
      </w:pPr>
    </w:p>
    <w:tbl>
      <w:tblPr>
        <w:tblStyle w:val="18"/>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559"/>
        <w:gridCol w:w="6946"/>
      </w:tblGrid>
      <w:tr w14:paraId="54DDB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817" w:type="dxa"/>
            <w:tcBorders>
              <w:top w:val="single" w:color="auto" w:sz="4" w:space="0"/>
              <w:left w:val="single" w:color="auto" w:sz="4" w:space="0"/>
              <w:bottom w:val="single" w:color="auto" w:sz="4" w:space="0"/>
              <w:right w:val="single" w:color="auto" w:sz="4" w:space="0"/>
            </w:tcBorders>
            <w:vAlign w:val="center"/>
          </w:tcPr>
          <w:p w14:paraId="2BCC5A3D">
            <w:pPr>
              <w:widowControl/>
              <w:spacing w:after="0" w:line="240" w:lineRule="auto"/>
              <w:jc w:val="center"/>
              <w:rPr>
                <w:rFonts w:eastAsia="仿宋"/>
                <w:b/>
                <w:sz w:val="24"/>
                <w:lang w:val="mn-MN"/>
              </w:rPr>
            </w:pPr>
            <w:bookmarkStart w:id="2" w:name="_Toc234718690"/>
            <w:bookmarkStart w:id="3" w:name="_Toc240972360"/>
            <w:bookmarkStart w:id="4" w:name="_Toc253044579"/>
            <w:bookmarkStart w:id="5" w:name="_Toc364945701"/>
            <w:r>
              <w:rPr>
                <w:rFonts w:eastAsia="仿宋"/>
                <w:b/>
                <w:sz w:val="24"/>
                <w:lang w:val="mn-MN"/>
              </w:rPr>
              <w:t>№</w:t>
            </w:r>
          </w:p>
        </w:tc>
        <w:tc>
          <w:tcPr>
            <w:tcW w:w="1559" w:type="dxa"/>
            <w:tcBorders>
              <w:top w:val="single" w:color="auto" w:sz="4" w:space="0"/>
              <w:left w:val="single" w:color="auto" w:sz="4" w:space="0"/>
              <w:bottom w:val="single" w:color="auto" w:sz="4" w:space="0"/>
              <w:right w:val="single" w:color="auto" w:sz="4" w:space="0"/>
            </w:tcBorders>
            <w:vAlign w:val="center"/>
          </w:tcPr>
          <w:p w14:paraId="24026C20">
            <w:pPr>
              <w:widowControl/>
              <w:spacing w:after="0" w:line="240" w:lineRule="auto"/>
              <w:jc w:val="center"/>
              <w:rPr>
                <w:rFonts w:eastAsia="仿宋"/>
                <w:b/>
                <w:sz w:val="24"/>
                <w:lang w:val="mn-MN"/>
              </w:rPr>
            </w:pPr>
            <w:r>
              <w:rPr>
                <w:rFonts w:eastAsia="仿宋"/>
                <w:b/>
                <w:sz w:val="24"/>
                <w:lang w:val="mn-MN"/>
              </w:rPr>
              <w:t xml:space="preserve">Агуулга </w:t>
            </w:r>
          </w:p>
        </w:tc>
        <w:tc>
          <w:tcPr>
            <w:tcW w:w="6946" w:type="dxa"/>
            <w:tcBorders>
              <w:top w:val="single" w:color="auto" w:sz="4" w:space="0"/>
              <w:left w:val="single" w:color="auto" w:sz="4" w:space="0"/>
              <w:bottom w:val="single" w:color="auto" w:sz="4" w:space="0"/>
              <w:right w:val="single" w:color="auto" w:sz="4" w:space="0"/>
            </w:tcBorders>
            <w:vAlign w:val="center"/>
          </w:tcPr>
          <w:p w14:paraId="72FA2B1A">
            <w:pPr>
              <w:widowControl/>
              <w:spacing w:after="0" w:line="240" w:lineRule="auto"/>
              <w:jc w:val="center"/>
              <w:rPr>
                <w:rFonts w:eastAsia="仿宋"/>
                <w:b/>
                <w:sz w:val="24"/>
                <w:lang w:val="mn-MN"/>
              </w:rPr>
            </w:pPr>
            <w:r>
              <w:rPr>
                <w:rFonts w:eastAsia="仿宋"/>
                <w:b/>
                <w:sz w:val="24"/>
                <w:lang w:val="mn-MN"/>
              </w:rPr>
              <w:t>Тайлбар болон шаардлага</w:t>
            </w:r>
          </w:p>
        </w:tc>
      </w:tr>
      <w:tr w14:paraId="753A4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817" w:type="dxa"/>
            <w:tcBorders>
              <w:top w:val="single" w:color="auto" w:sz="4" w:space="0"/>
              <w:left w:val="single" w:color="auto" w:sz="4" w:space="0"/>
              <w:bottom w:val="single" w:color="auto" w:sz="4" w:space="0"/>
              <w:right w:val="single" w:color="auto" w:sz="4" w:space="0"/>
            </w:tcBorders>
            <w:vAlign w:val="center"/>
          </w:tcPr>
          <w:p w14:paraId="094328A8">
            <w:pPr>
              <w:widowControl/>
              <w:spacing w:after="0" w:line="240" w:lineRule="auto"/>
              <w:jc w:val="center"/>
              <w:rPr>
                <w:rFonts w:eastAsia="仿宋"/>
                <w:sz w:val="24"/>
              </w:rPr>
            </w:pPr>
            <w:r>
              <w:rPr>
                <w:rFonts w:hint="eastAsia" w:eastAsia="仿宋"/>
                <w:sz w:val="24"/>
              </w:rPr>
              <w:t>1</w:t>
            </w:r>
          </w:p>
        </w:tc>
        <w:tc>
          <w:tcPr>
            <w:tcW w:w="1559" w:type="dxa"/>
            <w:tcBorders>
              <w:top w:val="single" w:color="auto" w:sz="4" w:space="0"/>
              <w:left w:val="single" w:color="auto" w:sz="4" w:space="0"/>
              <w:bottom w:val="single" w:color="auto" w:sz="4" w:space="0"/>
              <w:right w:val="single" w:color="auto" w:sz="4" w:space="0"/>
            </w:tcBorders>
            <w:vAlign w:val="center"/>
          </w:tcPr>
          <w:p w14:paraId="1A41B7CA">
            <w:pPr>
              <w:widowControl/>
              <w:spacing w:after="0" w:line="240" w:lineRule="auto"/>
              <w:jc w:val="center"/>
              <w:rPr>
                <w:rFonts w:eastAsia="仿宋"/>
                <w:sz w:val="24"/>
                <w:lang w:val="mn-MN"/>
              </w:rPr>
            </w:pPr>
            <w:r>
              <w:rPr>
                <w:rFonts w:eastAsia="仿宋"/>
                <w:sz w:val="24"/>
                <w:lang w:val="mn-MN"/>
              </w:rPr>
              <w:t>Төслийн нэр</w:t>
            </w:r>
          </w:p>
        </w:tc>
        <w:tc>
          <w:tcPr>
            <w:tcW w:w="6946" w:type="dxa"/>
            <w:tcBorders>
              <w:top w:val="single" w:color="auto" w:sz="4" w:space="0"/>
              <w:left w:val="single" w:color="auto" w:sz="4" w:space="0"/>
              <w:bottom w:val="single" w:color="auto" w:sz="4" w:space="0"/>
              <w:right w:val="single" w:color="auto" w:sz="4" w:space="0"/>
            </w:tcBorders>
            <w:vAlign w:val="center"/>
          </w:tcPr>
          <w:p w14:paraId="2292B649">
            <w:pPr>
              <w:widowControl/>
              <w:spacing w:after="0" w:line="240" w:lineRule="auto"/>
              <w:jc w:val="center"/>
              <w:rPr>
                <w:rFonts w:eastAsia="仿宋"/>
                <w:sz w:val="24"/>
              </w:rPr>
            </w:pPr>
            <w:r>
              <w:rPr>
                <w:rFonts w:eastAsia="仿宋"/>
                <w:sz w:val="24"/>
                <w:lang w:val="mn-MN"/>
              </w:rPr>
              <w:t>Шинь Шинь ХХК-ний баяжмал тээвэрлэлтийн төмөр замын тээвэр зуучийн ажил</w:t>
            </w:r>
          </w:p>
        </w:tc>
      </w:tr>
      <w:tr w14:paraId="685A8E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17" w:type="dxa"/>
            <w:tcBorders>
              <w:top w:val="single" w:color="auto" w:sz="4" w:space="0"/>
              <w:left w:val="single" w:color="auto" w:sz="4" w:space="0"/>
              <w:bottom w:val="single" w:color="auto" w:sz="4" w:space="0"/>
              <w:right w:val="single" w:color="auto" w:sz="4" w:space="0"/>
            </w:tcBorders>
            <w:vAlign w:val="center"/>
          </w:tcPr>
          <w:p w14:paraId="34C8AB4A">
            <w:pPr>
              <w:widowControl/>
              <w:spacing w:after="0" w:line="240" w:lineRule="auto"/>
              <w:jc w:val="center"/>
              <w:rPr>
                <w:rFonts w:eastAsia="仿宋"/>
                <w:sz w:val="24"/>
              </w:rPr>
            </w:pPr>
            <w:r>
              <w:rPr>
                <w:rFonts w:hint="eastAsia" w:eastAsia="仿宋"/>
                <w:sz w:val="24"/>
              </w:rPr>
              <w:t>2</w:t>
            </w:r>
          </w:p>
        </w:tc>
        <w:tc>
          <w:tcPr>
            <w:tcW w:w="1559" w:type="dxa"/>
            <w:tcBorders>
              <w:top w:val="single" w:color="auto" w:sz="4" w:space="0"/>
              <w:left w:val="single" w:color="auto" w:sz="4" w:space="0"/>
              <w:bottom w:val="single" w:color="auto" w:sz="4" w:space="0"/>
              <w:right w:val="single" w:color="auto" w:sz="4" w:space="0"/>
            </w:tcBorders>
            <w:vAlign w:val="center"/>
          </w:tcPr>
          <w:p w14:paraId="39CAB4A4">
            <w:pPr>
              <w:widowControl/>
              <w:spacing w:after="0" w:line="240" w:lineRule="auto"/>
              <w:jc w:val="center"/>
              <w:rPr>
                <w:rFonts w:eastAsia="仿宋"/>
                <w:sz w:val="24"/>
                <w:lang w:val="mn-MN"/>
              </w:rPr>
            </w:pPr>
            <w:r>
              <w:rPr>
                <w:rFonts w:eastAsia="仿宋"/>
                <w:sz w:val="24"/>
                <w:lang w:val="mn-MN"/>
              </w:rPr>
              <w:t>Төслийн газар</w:t>
            </w:r>
          </w:p>
        </w:tc>
        <w:tc>
          <w:tcPr>
            <w:tcW w:w="6946" w:type="dxa"/>
            <w:tcBorders>
              <w:top w:val="single" w:color="auto" w:sz="4" w:space="0"/>
              <w:left w:val="single" w:color="auto" w:sz="4" w:space="0"/>
              <w:bottom w:val="single" w:color="auto" w:sz="4" w:space="0"/>
              <w:right w:val="single" w:color="auto" w:sz="4" w:space="0"/>
            </w:tcBorders>
            <w:vAlign w:val="center"/>
          </w:tcPr>
          <w:p w14:paraId="6510FCCC">
            <w:pPr>
              <w:widowControl/>
              <w:spacing w:after="0" w:line="240" w:lineRule="auto"/>
              <w:jc w:val="center"/>
              <w:rPr>
                <w:rFonts w:eastAsia="仿宋"/>
                <w:sz w:val="24"/>
                <w:lang w:val="mn-MN"/>
              </w:rPr>
            </w:pPr>
            <w:r>
              <w:rPr>
                <w:rFonts w:eastAsia="仿宋"/>
                <w:sz w:val="24"/>
                <w:lang w:val="mn-MN"/>
              </w:rPr>
              <w:t xml:space="preserve">Монгол улс, Дашбалбар сум Шинь Шинь ХХК Улааны уурхай </w:t>
            </w:r>
          </w:p>
        </w:tc>
      </w:tr>
      <w:tr w14:paraId="3AA3E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7" w:hRule="atLeast"/>
        </w:trPr>
        <w:tc>
          <w:tcPr>
            <w:tcW w:w="817" w:type="dxa"/>
            <w:tcBorders>
              <w:top w:val="single" w:color="auto" w:sz="4" w:space="0"/>
              <w:left w:val="single" w:color="auto" w:sz="4" w:space="0"/>
              <w:bottom w:val="single" w:color="auto" w:sz="4" w:space="0"/>
              <w:right w:val="single" w:color="auto" w:sz="4" w:space="0"/>
            </w:tcBorders>
            <w:vAlign w:val="center"/>
          </w:tcPr>
          <w:p w14:paraId="2A43BE0C">
            <w:pPr>
              <w:widowControl/>
              <w:spacing w:after="0" w:line="240" w:lineRule="auto"/>
              <w:jc w:val="center"/>
              <w:rPr>
                <w:rFonts w:eastAsia="仿宋"/>
                <w:sz w:val="24"/>
              </w:rPr>
            </w:pPr>
            <w:r>
              <w:rPr>
                <w:rFonts w:hint="eastAsia" w:eastAsia="仿宋"/>
                <w:sz w:val="24"/>
              </w:rPr>
              <w:t>3</w:t>
            </w:r>
          </w:p>
        </w:tc>
        <w:tc>
          <w:tcPr>
            <w:tcW w:w="1559" w:type="dxa"/>
            <w:tcBorders>
              <w:top w:val="single" w:color="auto" w:sz="4" w:space="0"/>
              <w:left w:val="single" w:color="auto" w:sz="4" w:space="0"/>
              <w:bottom w:val="single" w:color="auto" w:sz="4" w:space="0"/>
              <w:right w:val="single" w:color="auto" w:sz="4" w:space="0"/>
            </w:tcBorders>
            <w:vAlign w:val="center"/>
          </w:tcPr>
          <w:p w14:paraId="2491726D">
            <w:pPr>
              <w:widowControl/>
              <w:spacing w:after="0" w:line="240" w:lineRule="auto"/>
              <w:jc w:val="center"/>
              <w:rPr>
                <w:rFonts w:eastAsia="仿宋"/>
                <w:sz w:val="24"/>
                <w:lang w:val="mn-MN"/>
              </w:rPr>
            </w:pPr>
            <w:r>
              <w:rPr>
                <w:rFonts w:eastAsia="仿宋"/>
                <w:sz w:val="24"/>
                <w:lang w:val="mn-MN"/>
              </w:rPr>
              <w:t>Тендерийн агуулга</w:t>
            </w:r>
          </w:p>
        </w:tc>
        <w:tc>
          <w:tcPr>
            <w:tcW w:w="6946" w:type="dxa"/>
            <w:tcBorders>
              <w:top w:val="single" w:color="auto" w:sz="4" w:space="0"/>
              <w:left w:val="single" w:color="auto" w:sz="4" w:space="0"/>
              <w:bottom w:val="single" w:color="auto" w:sz="4" w:space="0"/>
              <w:right w:val="single" w:color="auto" w:sz="4" w:space="0"/>
            </w:tcBorders>
            <w:vAlign w:val="center"/>
          </w:tcPr>
          <w:p w14:paraId="569F51B8">
            <w:pPr>
              <w:widowControl/>
              <w:spacing w:after="0" w:line="240" w:lineRule="auto"/>
              <w:jc w:val="center"/>
              <w:rPr>
                <w:rFonts w:eastAsia="仿宋"/>
                <w:sz w:val="24"/>
                <w:lang w:val="mn-MN"/>
              </w:rPr>
            </w:pPr>
            <w:r>
              <w:rPr>
                <w:rFonts w:eastAsia="仿宋"/>
                <w:sz w:val="24"/>
                <w:lang w:val="mn-MN"/>
              </w:rPr>
              <w:t xml:space="preserve">Төмөр замаар тээвэрлэх баяжмал нь 2 тн-оор савлагдаж сард дунджаар </w:t>
            </w:r>
            <w:r>
              <w:rPr>
                <w:rFonts w:eastAsia="仿宋"/>
                <w:sz w:val="24"/>
              </w:rPr>
              <w:t>5500</w:t>
            </w:r>
            <w:r>
              <w:rPr>
                <w:rFonts w:hint="eastAsia" w:eastAsia="仿宋"/>
                <w:sz w:val="24"/>
                <w:lang w:val="mn-MN"/>
              </w:rPr>
              <w:t xml:space="preserve"> </w:t>
            </w:r>
            <w:r>
              <w:rPr>
                <w:rFonts w:eastAsia="仿宋"/>
                <w:sz w:val="24"/>
                <w:lang w:val="mn-MN"/>
              </w:rPr>
              <w:t>тн</w:t>
            </w:r>
            <w:r>
              <w:rPr>
                <w:rFonts w:hint="eastAsia" w:eastAsia="仿宋"/>
                <w:sz w:val="24"/>
                <w:lang w:val="mn-MN"/>
              </w:rPr>
              <w:t xml:space="preserve"> </w:t>
            </w:r>
            <w:r>
              <w:rPr>
                <w:rFonts w:eastAsia="仿宋"/>
                <w:sz w:val="24"/>
                <w:lang w:val="mn-MN"/>
              </w:rPr>
              <w:t>гарах ба 202</w:t>
            </w:r>
            <w:r>
              <w:rPr>
                <w:rFonts w:hint="eastAsia" w:eastAsia="仿宋"/>
                <w:sz w:val="24"/>
                <w:lang w:val="en-US" w:eastAsia="zh-CN"/>
              </w:rPr>
              <w:t>6</w:t>
            </w:r>
            <w:r>
              <w:rPr>
                <w:rFonts w:eastAsia="仿宋"/>
                <w:sz w:val="24"/>
                <w:lang w:val="mn-MN"/>
              </w:rPr>
              <w:t xml:space="preserve">оны </w:t>
            </w:r>
            <w:r>
              <w:rPr>
                <w:rFonts w:eastAsia="仿宋"/>
                <w:sz w:val="24"/>
              </w:rPr>
              <w:t>3</w:t>
            </w:r>
            <w:r>
              <w:rPr>
                <w:rFonts w:eastAsia="仿宋"/>
                <w:sz w:val="24"/>
                <w:lang w:val="mn-MN"/>
              </w:rPr>
              <w:t xml:space="preserve"> сараас 202 оны </w:t>
            </w:r>
            <w:r>
              <w:rPr>
                <w:rFonts w:hint="eastAsia" w:eastAsia="仿宋"/>
                <w:sz w:val="24"/>
                <w:lang w:val="en-US" w:eastAsia="zh-CN"/>
              </w:rPr>
              <w:t>2</w:t>
            </w:r>
            <w:r>
              <w:rPr>
                <w:rFonts w:eastAsia="仿宋"/>
                <w:sz w:val="24"/>
                <w:lang w:val="mn-MN"/>
              </w:rPr>
              <w:t>сар хүртэл урьдчилсан тооцоогоор</w:t>
            </w:r>
            <w:r>
              <w:rPr>
                <w:rFonts w:eastAsia="仿宋"/>
                <w:sz w:val="24"/>
              </w:rPr>
              <w:t xml:space="preserve"> 66000 </w:t>
            </w:r>
            <w:r>
              <w:rPr>
                <w:rFonts w:eastAsia="仿宋"/>
                <w:sz w:val="24"/>
                <w:lang w:val="mn-MN"/>
              </w:rPr>
              <w:t>тн байна. Монгол улсын Баянтүмэн өртөөнөөс ачилт хийж, Оросоор дамжин Хятадын Манжуур хотод хүрэх ба нийт 439 км болно.</w:t>
            </w:r>
          </w:p>
        </w:tc>
      </w:tr>
      <w:tr w14:paraId="46E1BB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817" w:type="dxa"/>
            <w:tcBorders>
              <w:top w:val="single" w:color="auto" w:sz="4" w:space="0"/>
              <w:left w:val="single" w:color="auto" w:sz="4" w:space="0"/>
              <w:bottom w:val="single" w:color="auto" w:sz="4" w:space="0"/>
              <w:right w:val="single" w:color="auto" w:sz="4" w:space="0"/>
            </w:tcBorders>
            <w:vAlign w:val="center"/>
          </w:tcPr>
          <w:p w14:paraId="0E5A3C68">
            <w:pPr>
              <w:widowControl/>
              <w:spacing w:after="0" w:line="240" w:lineRule="auto"/>
              <w:jc w:val="center"/>
              <w:rPr>
                <w:rFonts w:eastAsia="仿宋"/>
                <w:sz w:val="24"/>
              </w:rPr>
            </w:pPr>
            <w:r>
              <w:rPr>
                <w:rFonts w:hint="eastAsia" w:eastAsia="仿宋"/>
                <w:sz w:val="24"/>
              </w:rPr>
              <w:t>4</w:t>
            </w:r>
          </w:p>
        </w:tc>
        <w:tc>
          <w:tcPr>
            <w:tcW w:w="1559" w:type="dxa"/>
            <w:tcBorders>
              <w:top w:val="single" w:color="auto" w:sz="4" w:space="0"/>
              <w:left w:val="single" w:color="auto" w:sz="4" w:space="0"/>
              <w:bottom w:val="single" w:color="auto" w:sz="4" w:space="0"/>
              <w:right w:val="single" w:color="auto" w:sz="4" w:space="0"/>
            </w:tcBorders>
            <w:vAlign w:val="center"/>
          </w:tcPr>
          <w:p w14:paraId="007E245C">
            <w:pPr>
              <w:widowControl/>
              <w:spacing w:after="0" w:line="240" w:lineRule="auto"/>
              <w:jc w:val="center"/>
              <w:rPr>
                <w:rFonts w:eastAsia="仿宋"/>
                <w:sz w:val="24"/>
                <w:lang w:val="mn-MN"/>
              </w:rPr>
            </w:pPr>
            <w:r>
              <w:rPr>
                <w:rFonts w:eastAsia="仿宋"/>
                <w:sz w:val="24"/>
                <w:lang w:val="mn-MN"/>
              </w:rPr>
              <w:t xml:space="preserve">Гэрээний хүчинтэй хугацаа </w:t>
            </w:r>
          </w:p>
        </w:tc>
        <w:tc>
          <w:tcPr>
            <w:tcW w:w="6946" w:type="dxa"/>
            <w:tcBorders>
              <w:top w:val="single" w:color="auto" w:sz="4" w:space="0"/>
              <w:left w:val="single" w:color="auto" w:sz="4" w:space="0"/>
              <w:bottom w:val="single" w:color="auto" w:sz="4" w:space="0"/>
              <w:right w:val="single" w:color="auto" w:sz="4" w:space="0"/>
            </w:tcBorders>
            <w:vAlign w:val="center"/>
          </w:tcPr>
          <w:p w14:paraId="20D23BF0">
            <w:pPr>
              <w:widowControl/>
              <w:spacing w:after="0" w:line="240" w:lineRule="auto"/>
              <w:jc w:val="center"/>
              <w:rPr>
                <w:rFonts w:eastAsia="仿宋"/>
                <w:sz w:val="24"/>
                <w:lang w:val="mn-MN"/>
              </w:rPr>
            </w:pPr>
            <w:r>
              <w:rPr>
                <w:rFonts w:eastAsia="仿宋"/>
                <w:sz w:val="24"/>
                <w:lang w:val="mn-MN"/>
              </w:rPr>
              <w:t>Гэрээний хүчинтэй хугацаа 1 жил</w:t>
            </w:r>
          </w:p>
        </w:tc>
      </w:tr>
      <w:tr w14:paraId="66BC7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817" w:type="dxa"/>
            <w:tcBorders>
              <w:top w:val="single" w:color="auto" w:sz="4" w:space="0"/>
              <w:left w:val="single" w:color="auto" w:sz="4" w:space="0"/>
              <w:bottom w:val="single" w:color="auto" w:sz="4" w:space="0"/>
              <w:right w:val="single" w:color="auto" w:sz="4" w:space="0"/>
            </w:tcBorders>
            <w:vAlign w:val="center"/>
          </w:tcPr>
          <w:p w14:paraId="2C55C88E">
            <w:pPr>
              <w:widowControl/>
              <w:spacing w:after="0" w:line="240" w:lineRule="auto"/>
              <w:jc w:val="center"/>
              <w:rPr>
                <w:rFonts w:eastAsia="仿宋"/>
                <w:sz w:val="24"/>
              </w:rPr>
            </w:pPr>
            <w:r>
              <w:rPr>
                <w:rFonts w:hint="eastAsia" w:eastAsia="仿宋"/>
                <w:sz w:val="24"/>
              </w:rPr>
              <w:t>5</w:t>
            </w:r>
          </w:p>
        </w:tc>
        <w:tc>
          <w:tcPr>
            <w:tcW w:w="1559" w:type="dxa"/>
            <w:tcBorders>
              <w:top w:val="single" w:color="auto" w:sz="4" w:space="0"/>
              <w:left w:val="single" w:color="auto" w:sz="4" w:space="0"/>
              <w:bottom w:val="single" w:color="auto" w:sz="4" w:space="0"/>
              <w:right w:val="single" w:color="auto" w:sz="4" w:space="0"/>
            </w:tcBorders>
            <w:vAlign w:val="center"/>
          </w:tcPr>
          <w:p w14:paraId="4F91C3D1">
            <w:pPr>
              <w:widowControl/>
              <w:spacing w:after="0" w:line="240" w:lineRule="auto"/>
              <w:jc w:val="center"/>
              <w:rPr>
                <w:rFonts w:eastAsia="仿宋"/>
                <w:sz w:val="24"/>
                <w:lang w:val="mn-MN"/>
              </w:rPr>
            </w:pPr>
            <w:r>
              <w:rPr>
                <w:rFonts w:eastAsia="仿宋"/>
                <w:sz w:val="24"/>
                <w:lang w:val="mn-MN"/>
              </w:rPr>
              <w:t>Санхүүгийн эх үүсвэр</w:t>
            </w:r>
          </w:p>
        </w:tc>
        <w:tc>
          <w:tcPr>
            <w:tcW w:w="6946" w:type="dxa"/>
            <w:tcBorders>
              <w:top w:val="single" w:color="auto" w:sz="4" w:space="0"/>
              <w:left w:val="single" w:color="auto" w:sz="4" w:space="0"/>
              <w:bottom w:val="single" w:color="auto" w:sz="4" w:space="0"/>
              <w:right w:val="single" w:color="auto" w:sz="4" w:space="0"/>
            </w:tcBorders>
            <w:vAlign w:val="center"/>
          </w:tcPr>
          <w:p w14:paraId="6988A763">
            <w:pPr>
              <w:widowControl/>
              <w:spacing w:after="0" w:line="240" w:lineRule="auto"/>
              <w:jc w:val="center"/>
              <w:rPr>
                <w:rFonts w:eastAsia="仿宋"/>
                <w:sz w:val="24"/>
                <w:lang w:val="mn-MN"/>
              </w:rPr>
            </w:pPr>
            <w:r>
              <w:rPr>
                <w:rFonts w:eastAsia="仿宋"/>
                <w:sz w:val="24"/>
                <w:lang w:val="mn-MN"/>
              </w:rPr>
              <w:t>Аж ахуй нэгж өөрөө санхүүжүүлэх</w:t>
            </w:r>
          </w:p>
        </w:tc>
      </w:tr>
      <w:tr w14:paraId="32310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17" w:type="dxa"/>
            <w:tcBorders>
              <w:top w:val="single" w:color="auto" w:sz="4" w:space="0"/>
              <w:left w:val="single" w:color="auto" w:sz="4" w:space="0"/>
              <w:bottom w:val="nil"/>
              <w:right w:val="single" w:color="auto" w:sz="4" w:space="0"/>
            </w:tcBorders>
            <w:vAlign w:val="center"/>
          </w:tcPr>
          <w:p w14:paraId="13A6B38D">
            <w:pPr>
              <w:widowControl/>
              <w:spacing w:after="0" w:line="240" w:lineRule="auto"/>
              <w:jc w:val="center"/>
              <w:rPr>
                <w:rFonts w:eastAsia="仿宋"/>
                <w:sz w:val="24"/>
              </w:rPr>
            </w:pPr>
            <w:r>
              <w:rPr>
                <w:rFonts w:hint="eastAsia" w:eastAsia="仿宋"/>
                <w:sz w:val="24"/>
              </w:rPr>
              <w:t>6</w:t>
            </w:r>
          </w:p>
        </w:tc>
        <w:tc>
          <w:tcPr>
            <w:tcW w:w="1559" w:type="dxa"/>
            <w:tcBorders>
              <w:top w:val="single" w:color="auto" w:sz="4" w:space="0"/>
              <w:left w:val="single" w:color="auto" w:sz="4" w:space="0"/>
              <w:right w:val="single" w:color="auto" w:sz="4" w:space="0"/>
            </w:tcBorders>
            <w:vAlign w:val="center"/>
          </w:tcPr>
          <w:p w14:paraId="76D7DEEC">
            <w:pPr>
              <w:widowControl/>
              <w:spacing w:after="0" w:line="240" w:lineRule="auto"/>
              <w:jc w:val="center"/>
              <w:rPr>
                <w:rFonts w:eastAsia="仿宋"/>
                <w:sz w:val="24"/>
                <w:lang w:val="mn-MN"/>
              </w:rPr>
            </w:pPr>
            <w:r>
              <w:rPr>
                <w:rFonts w:eastAsia="仿宋"/>
                <w:sz w:val="24"/>
                <w:lang w:val="mn-MN"/>
              </w:rPr>
              <w:t>Тендерт оролцогчид тавигдах шаардлага</w:t>
            </w:r>
          </w:p>
        </w:tc>
        <w:tc>
          <w:tcPr>
            <w:tcW w:w="6946" w:type="dxa"/>
            <w:tcBorders>
              <w:top w:val="single" w:color="auto" w:sz="4" w:space="0"/>
              <w:left w:val="single" w:color="auto" w:sz="4" w:space="0"/>
              <w:bottom w:val="single" w:color="auto" w:sz="4" w:space="0"/>
              <w:right w:val="single" w:color="auto" w:sz="4" w:space="0"/>
            </w:tcBorders>
            <w:vAlign w:val="center"/>
          </w:tcPr>
          <w:p w14:paraId="7C6E9E8F">
            <w:pPr>
              <w:pStyle w:val="47"/>
              <w:widowControl/>
              <w:numPr>
                <w:ilvl w:val="0"/>
                <w:numId w:val="1"/>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Олон улсын тээвэр зуучийн эрхтэй байх бөгөөд бичиг баримт бүрэн, аж ахуй нэгж, хуулийн этгээдийн шаардлага хангасан байх.</w:t>
            </w:r>
          </w:p>
          <w:p w14:paraId="33BEFE14">
            <w:pPr>
              <w:pStyle w:val="47"/>
              <w:widowControl/>
              <w:numPr>
                <w:ilvl w:val="0"/>
                <w:numId w:val="1"/>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Компани нь банкны найдвартай харилцагч, бизнесийн нэр хүндтэй байх. Мөн албан шаардлагаар үйл ажиллагаагаа зогсоосон болон нэгдэж нийлэх, дампуурах , эд хөрөнгөө хураалгасан, битүүмжилсэн зэрэг асуудалгүй байх</w:t>
            </w:r>
          </w:p>
          <w:p w14:paraId="10F6CDD6">
            <w:pPr>
              <w:pStyle w:val="47"/>
              <w:widowControl/>
              <w:numPr>
                <w:ilvl w:val="0"/>
                <w:numId w:val="1"/>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Тендер болон гэрээ хэрэгжих явцад хууран мэхлэх мөн гэрээг ноцтой зөрчих зэрэг асуудал гаргахгүй байх.</w:t>
            </w:r>
          </w:p>
          <w:p w14:paraId="16B2C1DB">
            <w:pPr>
              <w:pStyle w:val="47"/>
              <w:widowControl/>
              <w:numPr>
                <w:ilvl w:val="0"/>
                <w:numId w:val="1"/>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Тендерт оролцогч дараах чадвартай байх: </w:t>
            </w:r>
          </w:p>
          <w:p w14:paraId="665C203F">
            <w:pPr>
              <w:pStyle w:val="47"/>
              <w:widowControl/>
              <w:numPr>
                <w:ilvl w:val="0"/>
                <w:numId w:val="2"/>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Хил дамнасан тээврийн үйлчилгээ явуулдаг байх ба өөрсдөө вагон болон ажиллах хүчтэй байх</w:t>
            </w:r>
          </w:p>
          <w:p w14:paraId="1E73D5B9">
            <w:pPr>
              <w:pStyle w:val="47"/>
              <w:widowControl/>
              <w:numPr>
                <w:ilvl w:val="0"/>
                <w:numId w:val="2"/>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Хил дамнасан тээвэр, худалдаа эрхэлдэг байх, воганы компанитай хамтын харилцаа сайн байх, эдийн засаг болон зохицуулах чадвар хангалттай сайн байх. </w:t>
            </w:r>
          </w:p>
          <w:p w14:paraId="09C4BA6E">
            <w:pPr>
              <w:pStyle w:val="47"/>
              <w:widowControl/>
              <w:numPr>
                <w:ilvl w:val="0"/>
                <w:numId w:val="2"/>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Сүүлийн 3 жилд Хятад, Орос, Монголоор тээвэрлэлт хийж байсан ба гадаад худалдааны үйлчилгээ хийж байсан байх</w:t>
            </w:r>
          </w:p>
          <w:p w14:paraId="432E51B9">
            <w:pPr>
              <w:widowControl/>
              <w:spacing w:after="0" w:line="240" w:lineRule="auto"/>
              <w:jc w:val="center"/>
              <w:rPr>
                <w:rFonts w:eastAsia="仿宋"/>
                <w:sz w:val="24"/>
              </w:rPr>
            </w:pPr>
          </w:p>
        </w:tc>
      </w:tr>
      <w:tr w14:paraId="47132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17" w:type="dxa"/>
            <w:tcBorders>
              <w:top w:val="single" w:color="auto" w:sz="4" w:space="0"/>
              <w:left w:val="single" w:color="auto" w:sz="4" w:space="0"/>
              <w:bottom w:val="single" w:color="auto" w:sz="4" w:space="0"/>
              <w:right w:val="single" w:color="auto" w:sz="4" w:space="0"/>
            </w:tcBorders>
            <w:vAlign w:val="center"/>
          </w:tcPr>
          <w:p w14:paraId="4C3D08EE">
            <w:pPr>
              <w:widowControl/>
              <w:spacing w:after="0" w:line="240" w:lineRule="auto"/>
              <w:jc w:val="center"/>
              <w:rPr>
                <w:rFonts w:eastAsia="仿宋"/>
                <w:b/>
                <w:sz w:val="24"/>
              </w:rPr>
            </w:pPr>
            <w:r>
              <w:rPr>
                <w:rFonts w:hint="eastAsia" w:eastAsia="仿宋"/>
                <w:b/>
                <w:sz w:val="24"/>
              </w:rPr>
              <w:t>7</w:t>
            </w:r>
          </w:p>
        </w:tc>
        <w:tc>
          <w:tcPr>
            <w:tcW w:w="1559" w:type="dxa"/>
            <w:tcBorders>
              <w:top w:val="single" w:color="auto" w:sz="4" w:space="0"/>
              <w:left w:val="single" w:color="auto" w:sz="4" w:space="0"/>
              <w:bottom w:val="single" w:color="auto" w:sz="4" w:space="0"/>
              <w:right w:val="single" w:color="auto" w:sz="4" w:space="0"/>
            </w:tcBorders>
            <w:vAlign w:val="center"/>
          </w:tcPr>
          <w:p w14:paraId="53BB74EB">
            <w:pPr>
              <w:widowControl/>
              <w:spacing w:after="0" w:line="240" w:lineRule="auto"/>
              <w:jc w:val="center"/>
              <w:rPr>
                <w:rFonts w:eastAsia="仿宋"/>
                <w:sz w:val="24"/>
                <w:lang w:val="mn-MN"/>
              </w:rPr>
            </w:pPr>
            <w:r>
              <w:rPr>
                <w:rFonts w:eastAsia="仿宋"/>
                <w:sz w:val="24"/>
                <w:lang w:val="mn-MN"/>
              </w:rPr>
              <w:t>Шалгах хэлбэр</w:t>
            </w:r>
          </w:p>
        </w:tc>
        <w:tc>
          <w:tcPr>
            <w:tcW w:w="6946" w:type="dxa"/>
            <w:tcBorders>
              <w:top w:val="single" w:color="auto" w:sz="4" w:space="0"/>
              <w:left w:val="single" w:color="auto" w:sz="4" w:space="0"/>
              <w:bottom w:val="single" w:color="auto" w:sz="4" w:space="0"/>
              <w:right w:val="single" w:color="auto" w:sz="4" w:space="0"/>
            </w:tcBorders>
            <w:vAlign w:val="center"/>
          </w:tcPr>
          <w:p w14:paraId="2CAC67D1">
            <w:pPr>
              <w:widowControl/>
              <w:spacing w:after="0" w:line="240" w:lineRule="auto"/>
              <w:jc w:val="center"/>
              <w:rPr>
                <w:rFonts w:eastAsia="仿宋"/>
                <w:sz w:val="24"/>
                <w:lang w:val="mn-MN"/>
              </w:rPr>
            </w:pPr>
            <w:r>
              <w:rPr>
                <w:rFonts w:eastAsia="仿宋"/>
                <w:sz w:val="24"/>
                <w:lang w:val="mn-MN"/>
              </w:rPr>
              <w:t>Баримт бичиг тэнцсэний дараа шалгах</w:t>
            </w:r>
          </w:p>
        </w:tc>
      </w:tr>
      <w:tr w14:paraId="45430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817" w:type="dxa"/>
            <w:tcBorders>
              <w:top w:val="single" w:color="auto" w:sz="4" w:space="0"/>
              <w:left w:val="single" w:color="auto" w:sz="4" w:space="0"/>
              <w:bottom w:val="single" w:color="auto" w:sz="4" w:space="0"/>
              <w:right w:val="single" w:color="auto" w:sz="4" w:space="0"/>
            </w:tcBorders>
            <w:vAlign w:val="center"/>
          </w:tcPr>
          <w:p w14:paraId="6D137332">
            <w:pPr>
              <w:widowControl/>
              <w:spacing w:after="0" w:line="240" w:lineRule="auto"/>
              <w:jc w:val="center"/>
              <w:rPr>
                <w:rFonts w:eastAsia="仿宋"/>
                <w:sz w:val="24"/>
              </w:rPr>
            </w:pPr>
            <w:r>
              <w:rPr>
                <w:rFonts w:hint="eastAsia" w:eastAsia="仿宋"/>
                <w:sz w:val="24"/>
              </w:rPr>
              <w:t>8</w:t>
            </w:r>
          </w:p>
        </w:tc>
        <w:tc>
          <w:tcPr>
            <w:tcW w:w="1559" w:type="dxa"/>
            <w:tcBorders>
              <w:top w:val="single" w:color="auto" w:sz="4" w:space="0"/>
              <w:left w:val="single" w:color="auto" w:sz="4" w:space="0"/>
              <w:bottom w:val="single" w:color="auto" w:sz="4" w:space="0"/>
              <w:right w:val="single" w:color="auto" w:sz="4" w:space="0"/>
            </w:tcBorders>
            <w:vAlign w:val="center"/>
          </w:tcPr>
          <w:p w14:paraId="2FC4B8A5">
            <w:pPr>
              <w:widowControl/>
              <w:spacing w:after="0" w:line="240" w:lineRule="auto"/>
              <w:jc w:val="center"/>
              <w:rPr>
                <w:rFonts w:ascii="MS Gothic" w:hAnsi="MS Gothic" w:eastAsia="MS Gothic" w:cs="MS Gothic"/>
                <w:sz w:val="24"/>
                <w:lang w:val="mn-MN"/>
              </w:rPr>
            </w:pPr>
            <w:r>
              <w:rPr>
                <w:rFonts w:eastAsia="仿宋"/>
                <w:sz w:val="24"/>
                <w:lang w:val="mn-MN"/>
              </w:rPr>
              <w:t>Үнэ тооцох арга</w:t>
            </w:r>
          </w:p>
        </w:tc>
        <w:tc>
          <w:tcPr>
            <w:tcW w:w="6946" w:type="dxa"/>
            <w:tcBorders>
              <w:top w:val="single" w:color="auto" w:sz="4" w:space="0"/>
              <w:left w:val="single" w:color="auto" w:sz="4" w:space="0"/>
              <w:bottom w:val="single" w:color="auto" w:sz="4" w:space="0"/>
              <w:right w:val="single" w:color="auto" w:sz="4" w:space="0"/>
            </w:tcBorders>
            <w:vAlign w:val="center"/>
          </w:tcPr>
          <w:p w14:paraId="15144683">
            <w:pPr>
              <w:widowControl/>
              <w:spacing w:after="0" w:line="240" w:lineRule="auto"/>
              <w:jc w:val="center"/>
              <w:rPr>
                <w:rFonts w:eastAsia="仿宋"/>
                <w:sz w:val="24"/>
                <w:lang w:val="mn-MN"/>
              </w:rPr>
            </w:pPr>
            <w:r>
              <w:rPr>
                <w:rFonts w:eastAsia="仿宋"/>
                <w:sz w:val="24"/>
                <w:lang w:val="mn-MN"/>
              </w:rPr>
              <w:t xml:space="preserve">Тогтсон нэгж үнэ </w:t>
            </w:r>
            <w:r>
              <w:rPr>
                <w:rFonts w:eastAsia="仿宋"/>
                <w:bCs/>
                <w:sz w:val="24"/>
                <w:lang w:val="mn-MN"/>
              </w:rPr>
              <w:t xml:space="preserve">（Анхаар: Тус тендерийн үнийг хавсралт 1-3-аас харна уу </w:t>
            </w:r>
            <w:r>
              <w:rPr>
                <w:rFonts w:hint="eastAsia" w:eastAsia="仿宋"/>
                <w:bCs/>
                <w:sz w:val="24"/>
                <w:lang w:val="mn-MN"/>
              </w:rPr>
              <w:t>）</w:t>
            </w:r>
          </w:p>
        </w:tc>
      </w:tr>
      <w:tr w14:paraId="035C0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817" w:type="dxa"/>
            <w:tcBorders>
              <w:top w:val="single" w:color="auto" w:sz="4" w:space="0"/>
              <w:left w:val="single" w:color="auto" w:sz="4" w:space="0"/>
              <w:bottom w:val="single" w:color="auto" w:sz="4" w:space="0"/>
              <w:right w:val="single" w:color="auto" w:sz="4" w:space="0"/>
            </w:tcBorders>
            <w:vAlign w:val="center"/>
          </w:tcPr>
          <w:p w14:paraId="181AA883">
            <w:pPr>
              <w:widowControl/>
              <w:spacing w:after="0" w:line="240" w:lineRule="auto"/>
              <w:jc w:val="center"/>
              <w:rPr>
                <w:rFonts w:eastAsia="仿宋"/>
                <w:sz w:val="24"/>
              </w:rPr>
            </w:pPr>
            <w:r>
              <w:rPr>
                <w:rFonts w:hint="eastAsia" w:eastAsia="仿宋"/>
                <w:sz w:val="24"/>
              </w:rPr>
              <w:t>9</w:t>
            </w:r>
          </w:p>
        </w:tc>
        <w:tc>
          <w:tcPr>
            <w:tcW w:w="1559" w:type="dxa"/>
            <w:tcBorders>
              <w:top w:val="single" w:color="auto" w:sz="4" w:space="0"/>
              <w:left w:val="single" w:color="auto" w:sz="4" w:space="0"/>
              <w:bottom w:val="single" w:color="auto" w:sz="4" w:space="0"/>
              <w:right w:val="single" w:color="auto" w:sz="4" w:space="0"/>
            </w:tcBorders>
            <w:vAlign w:val="center"/>
          </w:tcPr>
          <w:p w14:paraId="30338F0F">
            <w:pPr>
              <w:widowControl/>
              <w:spacing w:after="0" w:line="240" w:lineRule="auto"/>
              <w:jc w:val="center"/>
              <w:rPr>
                <w:rFonts w:eastAsia="仿宋"/>
                <w:sz w:val="24"/>
                <w:lang w:val="mn-MN"/>
              </w:rPr>
            </w:pPr>
            <w:r>
              <w:rPr>
                <w:rFonts w:eastAsia="仿宋"/>
                <w:sz w:val="24"/>
                <w:lang w:val="mn-MN"/>
              </w:rPr>
              <w:t xml:space="preserve">Тендерийн хүчинтэй хугацаа </w:t>
            </w:r>
          </w:p>
        </w:tc>
        <w:tc>
          <w:tcPr>
            <w:tcW w:w="6946" w:type="dxa"/>
            <w:tcBorders>
              <w:top w:val="single" w:color="auto" w:sz="4" w:space="0"/>
              <w:left w:val="single" w:color="auto" w:sz="4" w:space="0"/>
              <w:bottom w:val="single" w:color="auto" w:sz="4" w:space="0"/>
              <w:right w:val="single" w:color="auto" w:sz="4" w:space="0"/>
            </w:tcBorders>
            <w:vAlign w:val="center"/>
          </w:tcPr>
          <w:p w14:paraId="53671B55">
            <w:pPr>
              <w:widowControl/>
              <w:spacing w:after="0" w:line="240" w:lineRule="auto"/>
              <w:jc w:val="center"/>
              <w:rPr>
                <w:rFonts w:eastAsia="仿宋"/>
                <w:sz w:val="24"/>
                <w:lang w:val="mn-MN"/>
              </w:rPr>
            </w:pPr>
            <w:r>
              <w:rPr>
                <w:rFonts w:eastAsia="仿宋"/>
                <w:sz w:val="24"/>
                <w:lang w:val="mn-MN"/>
              </w:rPr>
              <w:t xml:space="preserve">Хуанлин 30 хоног </w:t>
            </w:r>
            <w:r>
              <w:rPr>
                <w:rFonts w:hint="eastAsia" w:eastAsia="仿宋"/>
                <w:sz w:val="24"/>
                <w:lang w:val="mn-MN"/>
              </w:rPr>
              <w:t>（</w:t>
            </w:r>
            <w:r>
              <w:rPr>
                <w:rFonts w:eastAsia="仿宋"/>
                <w:sz w:val="24"/>
                <w:lang w:val="mn-MN"/>
              </w:rPr>
              <w:t xml:space="preserve">Тендер нээсэн өдрөөс эхэлж тооцно </w:t>
            </w:r>
            <w:r>
              <w:rPr>
                <w:rFonts w:hint="eastAsia" w:eastAsia="仿宋"/>
                <w:sz w:val="24"/>
                <w:lang w:val="mn-MN"/>
              </w:rPr>
              <w:t>）</w:t>
            </w:r>
          </w:p>
        </w:tc>
      </w:tr>
      <w:tr w14:paraId="427DA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817" w:type="dxa"/>
            <w:tcBorders>
              <w:top w:val="single" w:color="auto" w:sz="4" w:space="0"/>
              <w:left w:val="single" w:color="auto" w:sz="4" w:space="0"/>
              <w:bottom w:val="single" w:color="auto" w:sz="4" w:space="0"/>
              <w:right w:val="single" w:color="auto" w:sz="4" w:space="0"/>
            </w:tcBorders>
            <w:vAlign w:val="center"/>
          </w:tcPr>
          <w:p w14:paraId="318921CB">
            <w:pPr>
              <w:widowControl/>
              <w:spacing w:after="0" w:line="240" w:lineRule="auto"/>
              <w:jc w:val="center"/>
              <w:rPr>
                <w:rFonts w:eastAsia="仿宋"/>
                <w:sz w:val="24"/>
              </w:rPr>
            </w:pPr>
            <w:r>
              <w:rPr>
                <w:rFonts w:hint="eastAsia" w:eastAsia="仿宋"/>
                <w:sz w:val="24"/>
              </w:rPr>
              <w:t>10</w:t>
            </w:r>
          </w:p>
        </w:tc>
        <w:tc>
          <w:tcPr>
            <w:tcW w:w="1559" w:type="dxa"/>
            <w:tcBorders>
              <w:top w:val="single" w:color="auto" w:sz="4" w:space="0"/>
              <w:left w:val="single" w:color="auto" w:sz="4" w:space="0"/>
              <w:bottom w:val="single" w:color="auto" w:sz="4" w:space="0"/>
              <w:right w:val="single" w:color="auto" w:sz="4" w:space="0"/>
            </w:tcBorders>
            <w:vAlign w:val="center"/>
          </w:tcPr>
          <w:p w14:paraId="1516EEE0">
            <w:pPr>
              <w:widowControl/>
              <w:spacing w:after="0" w:line="240" w:lineRule="auto"/>
              <w:jc w:val="center"/>
              <w:rPr>
                <w:rFonts w:eastAsia="仿宋"/>
                <w:sz w:val="24"/>
                <w:lang w:val="mn-MN"/>
              </w:rPr>
            </w:pPr>
            <w:r>
              <w:rPr>
                <w:rFonts w:eastAsia="仿宋"/>
                <w:sz w:val="24"/>
                <w:lang w:val="mn-MN"/>
              </w:rPr>
              <w:t>Тендерийн материалын хувь хэмжээ</w:t>
            </w:r>
          </w:p>
        </w:tc>
        <w:tc>
          <w:tcPr>
            <w:tcW w:w="6946" w:type="dxa"/>
            <w:tcBorders>
              <w:top w:val="single" w:color="auto" w:sz="4" w:space="0"/>
              <w:left w:val="single" w:color="auto" w:sz="4" w:space="0"/>
              <w:bottom w:val="single" w:color="auto" w:sz="4" w:space="0"/>
              <w:right w:val="single" w:color="auto" w:sz="4" w:space="0"/>
            </w:tcBorders>
            <w:vAlign w:val="center"/>
          </w:tcPr>
          <w:p w14:paraId="4217758A">
            <w:pPr>
              <w:widowControl/>
              <w:spacing w:after="0" w:line="240" w:lineRule="auto"/>
              <w:jc w:val="center"/>
              <w:rPr>
                <w:rFonts w:eastAsia="仿宋"/>
                <w:sz w:val="24"/>
              </w:rPr>
            </w:pPr>
            <w:r>
              <w:rPr>
                <w:rFonts w:hint="eastAsia" w:eastAsia="仿宋"/>
                <w:sz w:val="24"/>
              </w:rPr>
              <w:t>PDF</w:t>
            </w:r>
            <w:r>
              <w:rPr>
                <w:rFonts w:eastAsia="仿宋"/>
                <w:sz w:val="24"/>
                <w:lang w:val="mn-MN"/>
              </w:rPr>
              <w:t xml:space="preserve"> тамга дарсан 1% </w:t>
            </w:r>
            <w:r>
              <w:rPr>
                <w:rFonts w:hint="eastAsia" w:eastAsia="仿宋"/>
                <w:sz w:val="24"/>
                <w:lang w:val="mn-MN"/>
              </w:rPr>
              <w:t xml:space="preserve">（ </w:t>
            </w:r>
            <w:r>
              <w:rPr>
                <w:rFonts w:eastAsia="仿宋"/>
                <w:sz w:val="24"/>
                <w:lang w:val="mn-MN"/>
              </w:rPr>
              <w:t xml:space="preserve">нууцлалтай </w:t>
            </w:r>
            <w:r>
              <w:rPr>
                <w:rFonts w:hint="eastAsia" w:eastAsia="仿宋"/>
                <w:sz w:val="24"/>
                <w:lang w:val="mn-MN"/>
              </w:rPr>
              <w:t>）</w:t>
            </w:r>
          </w:p>
        </w:tc>
      </w:tr>
      <w:tr w14:paraId="29E32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8" w:hRule="exact"/>
        </w:trPr>
        <w:tc>
          <w:tcPr>
            <w:tcW w:w="817" w:type="dxa"/>
            <w:tcBorders>
              <w:top w:val="single" w:color="auto" w:sz="4" w:space="0"/>
              <w:left w:val="single" w:color="auto" w:sz="4" w:space="0"/>
              <w:bottom w:val="single" w:color="auto" w:sz="4" w:space="0"/>
              <w:right w:val="single" w:color="auto" w:sz="4" w:space="0"/>
            </w:tcBorders>
            <w:vAlign w:val="center"/>
          </w:tcPr>
          <w:p w14:paraId="0BE445CB">
            <w:pPr>
              <w:widowControl/>
              <w:spacing w:after="0" w:line="240" w:lineRule="auto"/>
              <w:jc w:val="center"/>
              <w:rPr>
                <w:rFonts w:eastAsia="仿宋"/>
                <w:sz w:val="24"/>
              </w:rPr>
            </w:pPr>
            <w:r>
              <w:rPr>
                <w:rFonts w:hint="eastAsia" w:eastAsia="仿宋"/>
                <w:sz w:val="24"/>
              </w:rPr>
              <w:t>11</w:t>
            </w:r>
          </w:p>
        </w:tc>
        <w:tc>
          <w:tcPr>
            <w:tcW w:w="1559" w:type="dxa"/>
            <w:tcBorders>
              <w:top w:val="single" w:color="auto" w:sz="4" w:space="0"/>
              <w:left w:val="single" w:color="auto" w:sz="4" w:space="0"/>
              <w:bottom w:val="single" w:color="auto" w:sz="4" w:space="0"/>
              <w:right w:val="single" w:color="auto" w:sz="4" w:space="0"/>
            </w:tcBorders>
            <w:vAlign w:val="center"/>
          </w:tcPr>
          <w:p w14:paraId="1E620D68">
            <w:pPr>
              <w:widowControl/>
              <w:spacing w:after="0" w:line="240" w:lineRule="auto"/>
              <w:jc w:val="center"/>
              <w:rPr>
                <w:rFonts w:eastAsia="仿宋"/>
                <w:sz w:val="24"/>
                <w:lang w:val="mn-MN"/>
              </w:rPr>
            </w:pPr>
            <w:r>
              <w:rPr>
                <w:rFonts w:eastAsia="仿宋"/>
                <w:sz w:val="24"/>
                <w:lang w:val="mn-MN"/>
              </w:rPr>
              <w:t xml:space="preserve">Тендерийн бичиг баримт хүлээн авах газар болон сүүлийн хугацаа </w:t>
            </w:r>
          </w:p>
        </w:tc>
        <w:tc>
          <w:tcPr>
            <w:tcW w:w="6946" w:type="dxa"/>
            <w:tcBorders>
              <w:top w:val="single" w:color="auto" w:sz="4" w:space="0"/>
              <w:left w:val="single" w:color="auto" w:sz="4" w:space="0"/>
              <w:bottom w:val="single" w:color="auto" w:sz="4" w:space="0"/>
              <w:right w:val="single" w:color="auto" w:sz="4" w:space="0"/>
            </w:tcBorders>
            <w:vAlign w:val="center"/>
          </w:tcPr>
          <w:p w14:paraId="009C7354">
            <w:pPr>
              <w:widowControl/>
              <w:spacing w:after="0" w:line="240" w:lineRule="auto"/>
              <w:jc w:val="center"/>
              <w:rPr>
                <w:rFonts w:eastAsia="仿宋"/>
                <w:sz w:val="24"/>
                <w:lang w:val="mn-MN"/>
              </w:rPr>
            </w:pPr>
            <w:r>
              <w:rPr>
                <w:rFonts w:eastAsia="仿宋"/>
                <w:sz w:val="24"/>
                <w:lang w:val="mn-MN"/>
              </w:rPr>
              <w:t>Тендерийн явц төлөвлөгөөний хүснэгтээс харах</w:t>
            </w:r>
          </w:p>
        </w:tc>
      </w:tr>
      <w:tr w14:paraId="65799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817" w:type="dxa"/>
            <w:tcBorders>
              <w:top w:val="single" w:color="auto" w:sz="4" w:space="0"/>
              <w:left w:val="single" w:color="auto" w:sz="4" w:space="0"/>
              <w:bottom w:val="single" w:color="auto" w:sz="4" w:space="0"/>
              <w:right w:val="single" w:color="auto" w:sz="4" w:space="0"/>
            </w:tcBorders>
            <w:vAlign w:val="center"/>
          </w:tcPr>
          <w:p w14:paraId="57DB5EAB">
            <w:pPr>
              <w:widowControl/>
              <w:spacing w:after="0" w:line="240" w:lineRule="auto"/>
              <w:jc w:val="center"/>
              <w:rPr>
                <w:rFonts w:eastAsia="仿宋"/>
                <w:sz w:val="24"/>
              </w:rPr>
            </w:pPr>
            <w:r>
              <w:rPr>
                <w:rFonts w:hint="eastAsia" w:eastAsia="仿宋"/>
                <w:sz w:val="24"/>
              </w:rPr>
              <w:t>12</w:t>
            </w:r>
          </w:p>
        </w:tc>
        <w:tc>
          <w:tcPr>
            <w:tcW w:w="1559" w:type="dxa"/>
            <w:tcBorders>
              <w:top w:val="single" w:color="auto" w:sz="4" w:space="0"/>
              <w:left w:val="single" w:color="auto" w:sz="4" w:space="0"/>
              <w:bottom w:val="single" w:color="auto" w:sz="4" w:space="0"/>
              <w:right w:val="single" w:color="auto" w:sz="4" w:space="0"/>
            </w:tcBorders>
            <w:vAlign w:val="center"/>
          </w:tcPr>
          <w:p w14:paraId="39514224">
            <w:pPr>
              <w:widowControl/>
              <w:spacing w:after="0" w:line="240" w:lineRule="auto"/>
              <w:jc w:val="center"/>
              <w:rPr>
                <w:rFonts w:eastAsia="仿宋"/>
                <w:sz w:val="24"/>
                <w:lang w:val="mn-MN"/>
              </w:rPr>
            </w:pPr>
            <w:r>
              <w:rPr>
                <w:rFonts w:eastAsia="仿宋"/>
                <w:sz w:val="24"/>
                <w:lang w:val="mn-MN"/>
              </w:rPr>
              <w:t xml:space="preserve">Тендер нээх </w:t>
            </w:r>
          </w:p>
        </w:tc>
        <w:tc>
          <w:tcPr>
            <w:tcW w:w="6946" w:type="dxa"/>
            <w:tcBorders>
              <w:top w:val="single" w:color="auto" w:sz="4" w:space="0"/>
              <w:left w:val="single" w:color="auto" w:sz="4" w:space="0"/>
              <w:bottom w:val="single" w:color="auto" w:sz="4" w:space="0"/>
              <w:right w:val="single" w:color="auto" w:sz="4" w:space="0"/>
            </w:tcBorders>
            <w:vAlign w:val="center"/>
          </w:tcPr>
          <w:p w14:paraId="3C5927FA">
            <w:pPr>
              <w:widowControl/>
              <w:spacing w:after="0" w:line="240" w:lineRule="auto"/>
              <w:jc w:val="center"/>
              <w:rPr>
                <w:rFonts w:eastAsia="仿宋"/>
                <w:sz w:val="24"/>
              </w:rPr>
            </w:pPr>
            <w:r>
              <w:rPr>
                <w:rFonts w:eastAsia="仿宋"/>
                <w:sz w:val="24"/>
                <w:lang w:val="mn-MN"/>
              </w:rPr>
              <w:t>Тендерийн явц төлөвлөгөөний хүснэгтээс харах</w:t>
            </w:r>
          </w:p>
        </w:tc>
      </w:tr>
      <w:tr w14:paraId="185434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817" w:type="dxa"/>
            <w:tcBorders>
              <w:top w:val="single" w:color="auto" w:sz="4" w:space="0"/>
              <w:left w:val="single" w:color="auto" w:sz="4" w:space="0"/>
              <w:bottom w:val="single" w:color="auto" w:sz="4" w:space="0"/>
              <w:right w:val="single" w:color="auto" w:sz="4" w:space="0"/>
            </w:tcBorders>
            <w:vAlign w:val="center"/>
          </w:tcPr>
          <w:p w14:paraId="6547E1EA">
            <w:pPr>
              <w:widowControl/>
              <w:spacing w:after="0" w:line="240" w:lineRule="auto"/>
              <w:jc w:val="center"/>
              <w:rPr>
                <w:rFonts w:eastAsia="仿宋"/>
                <w:sz w:val="24"/>
              </w:rPr>
            </w:pPr>
            <w:r>
              <w:rPr>
                <w:rFonts w:hint="eastAsia" w:eastAsia="仿宋"/>
                <w:sz w:val="24"/>
              </w:rPr>
              <w:t>13</w:t>
            </w:r>
          </w:p>
        </w:tc>
        <w:tc>
          <w:tcPr>
            <w:tcW w:w="1559" w:type="dxa"/>
            <w:tcBorders>
              <w:top w:val="single" w:color="auto" w:sz="4" w:space="0"/>
              <w:left w:val="single" w:color="auto" w:sz="4" w:space="0"/>
              <w:bottom w:val="single" w:color="auto" w:sz="4" w:space="0"/>
              <w:right w:val="single" w:color="auto" w:sz="4" w:space="0"/>
            </w:tcBorders>
            <w:vAlign w:val="center"/>
          </w:tcPr>
          <w:p w14:paraId="5A5F61BE">
            <w:pPr>
              <w:widowControl/>
              <w:spacing w:after="0" w:line="240" w:lineRule="auto"/>
              <w:jc w:val="center"/>
              <w:rPr>
                <w:rFonts w:ascii="MS Gothic" w:hAnsi="MS Gothic" w:eastAsia="MS Gothic" w:cs="MS Gothic"/>
                <w:sz w:val="24"/>
                <w:lang w:val="mn-MN"/>
              </w:rPr>
            </w:pPr>
            <w:r>
              <w:rPr>
                <w:rFonts w:eastAsia="仿宋"/>
                <w:sz w:val="24"/>
                <w:lang w:val="mn-MN"/>
              </w:rPr>
              <w:t>Үнэлэх арга болон стандарт</w:t>
            </w:r>
          </w:p>
        </w:tc>
        <w:tc>
          <w:tcPr>
            <w:tcW w:w="6946" w:type="dxa"/>
            <w:tcBorders>
              <w:top w:val="single" w:color="auto" w:sz="4" w:space="0"/>
              <w:left w:val="single" w:color="auto" w:sz="4" w:space="0"/>
              <w:bottom w:val="single" w:color="auto" w:sz="4" w:space="0"/>
              <w:right w:val="single" w:color="auto" w:sz="4" w:space="0"/>
            </w:tcBorders>
            <w:vAlign w:val="center"/>
          </w:tcPr>
          <w:p w14:paraId="0E3645FE">
            <w:pPr>
              <w:widowControl/>
              <w:spacing w:after="0" w:line="240" w:lineRule="auto"/>
              <w:jc w:val="center"/>
              <w:rPr>
                <w:rFonts w:eastAsia="仿宋"/>
                <w:sz w:val="24"/>
              </w:rPr>
            </w:pPr>
            <w:r>
              <w:rPr>
                <w:rFonts w:eastAsia="仿宋"/>
                <w:sz w:val="24"/>
                <w:lang w:val="mn-MN"/>
              </w:rPr>
              <w:t xml:space="preserve">Нэгдүгээр бүлгийн “Тендер үнэлэх арга ”-аас харах </w:t>
            </w:r>
          </w:p>
        </w:tc>
      </w:tr>
      <w:bookmarkEnd w:id="2"/>
      <w:bookmarkEnd w:id="3"/>
      <w:bookmarkEnd w:id="4"/>
      <w:bookmarkEnd w:id="5"/>
    </w:tbl>
    <w:p w14:paraId="301AB828">
      <w:pPr>
        <w:widowControl/>
        <w:spacing w:after="0" w:line="240" w:lineRule="auto"/>
        <w:jc w:val="center"/>
        <w:rPr>
          <w:rFonts w:eastAsia="仿宋"/>
          <w:sz w:val="24"/>
        </w:rPr>
      </w:pPr>
    </w:p>
    <w:p w14:paraId="2C0E40C8">
      <w:pPr>
        <w:widowControl/>
        <w:spacing w:after="0" w:line="240" w:lineRule="auto"/>
        <w:jc w:val="center"/>
        <w:rPr>
          <w:rFonts w:eastAsia="仿宋"/>
          <w:b/>
          <w:sz w:val="24"/>
        </w:rPr>
      </w:pPr>
    </w:p>
    <w:p w14:paraId="1F291C0B">
      <w:pPr>
        <w:widowControl/>
        <w:spacing w:after="0" w:line="240" w:lineRule="auto"/>
        <w:jc w:val="center"/>
        <w:rPr>
          <w:rFonts w:eastAsia="仿宋"/>
          <w:b/>
          <w:sz w:val="24"/>
        </w:rPr>
      </w:pPr>
    </w:p>
    <w:p w14:paraId="7C1AA776">
      <w:pPr>
        <w:widowControl/>
        <w:spacing w:after="0" w:line="240" w:lineRule="auto"/>
        <w:jc w:val="center"/>
        <w:rPr>
          <w:rFonts w:eastAsia="仿宋"/>
          <w:b/>
          <w:sz w:val="24"/>
        </w:rPr>
      </w:pPr>
    </w:p>
    <w:p w14:paraId="200D8F97">
      <w:pPr>
        <w:widowControl/>
        <w:spacing w:after="0" w:line="240" w:lineRule="auto"/>
        <w:jc w:val="center"/>
        <w:rPr>
          <w:rFonts w:eastAsia="仿宋"/>
          <w:b/>
          <w:sz w:val="24"/>
        </w:rPr>
      </w:pPr>
    </w:p>
    <w:p w14:paraId="2E259A26">
      <w:pPr>
        <w:widowControl/>
        <w:spacing w:after="0" w:line="240" w:lineRule="auto"/>
        <w:jc w:val="center"/>
        <w:rPr>
          <w:rFonts w:eastAsia="仿宋"/>
          <w:b/>
          <w:sz w:val="24"/>
        </w:rPr>
      </w:pPr>
    </w:p>
    <w:p w14:paraId="50651A37">
      <w:pPr>
        <w:widowControl/>
        <w:spacing w:after="0" w:line="240" w:lineRule="auto"/>
        <w:jc w:val="center"/>
        <w:rPr>
          <w:rFonts w:eastAsia="仿宋"/>
          <w:b/>
          <w:sz w:val="24"/>
        </w:rPr>
      </w:pPr>
    </w:p>
    <w:p w14:paraId="77BE4196">
      <w:pPr>
        <w:widowControl/>
        <w:spacing w:after="0" w:line="240" w:lineRule="auto"/>
        <w:jc w:val="center"/>
        <w:rPr>
          <w:rFonts w:eastAsia="仿宋"/>
          <w:b/>
          <w:sz w:val="24"/>
        </w:rPr>
      </w:pPr>
    </w:p>
    <w:p w14:paraId="6BA0B982">
      <w:pPr>
        <w:widowControl/>
        <w:spacing w:after="0" w:line="240" w:lineRule="auto"/>
        <w:jc w:val="center"/>
        <w:rPr>
          <w:rFonts w:eastAsia="仿宋"/>
          <w:b/>
          <w:sz w:val="24"/>
        </w:rPr>
      </w:pPr>
    </w:p>
    <w:p w14:paraId="0B72E1D3">
      <w:pPr>
        <w:widowControl/>
        <w:spacing w:after="0" w:line="240" w:lineRule="auto"/>
        <w:jc w:val="center"/>
        <w:rPr>
          <w:rFonts w:eastAsia="仿宋"/>
          <w:b/>
          <w:sz w:val="24"/>
        </w:rPr>
      </w:pPr>
    </w:p>
    <w:p w14:paraId="03D8FD7F">
      <w:pPr>
        <w:widowControl/>
        <w:spacing w:after="0" w:line="240" w:lineRule="auto"/>
        <w:jc w:val="center"/>
        <w:rPr>
          <w:rFonts w:eastAsia="仿宋"/>
          <w:b/>
          <w:sz w:val="24"/>
        </w:rPr>
      </w:pPr>
    </w:p>
    <w:p w14:paraId="54FCFFE2">
      <w:pPr>
        <w:widowControl/>
        <w:spacing w:after="0" w:line="240" w:lineRule="auto"/>
        <w:jc w:val="center"/>
        <w:rPr>
          <w:rFonts w:eastAsia="仿宋"/>
          <w:b/>
          <w:sz w:val="24"/>
        </w:rPr>
      </w:pPr>
    </w:p>
    <w:p w14:paraId="4D55C25E">
      <w:pPr>
        <w:widowControl/>
        <w:spacing w:after="0" w:line="240" w:lineRule="auto"/>
        <w:jc w:val="center"/>
        <w:rPr>
          <w:rFonts w:eastAsia="仿宋"/>
          <w:b/>
          <w:sz w:val="24"/>
        </w:rPr>
      </w:pPr>
    </w:p>
    <w:p w14:paraId="34DBFEFC">
      <w:pPr>
        <w:widowControl/>
        <w:spacing w:after="0" w:line="240" w:lineRule="auto"/>
        <w:jc w:val="center"/>
        <w:rPr>
          <w:rFonts w:eastAsia="仿宋"/>
          <w:b/>
          <w:sz w:val="24"/>
        </w:rPr>
      </w:pPr>
    </w:p>
    <w:p w14:paraId="3A6F6C58">
      <w:pPr>
        <w:widowControl/>
        <w:spacing w:after="0" w:line="240" w:lineRule="auto"/>
        <w:jc w:val="center"/>
        <w:rPr>
          <w:rFonts w:eastAsia="仿宋"/>
          <w:b/>
          <w:sz w:val="24"/>
        </w:rPr>
      </w:pPr>
    </w:p>
    <w:p w14:paraId="43D54AF8">
      <w:pPr>
        <w:widowControl/>
        <w:spacing w:after="0" w:line="240" w:lineRule="auto"/>
        <w:jc w:val="center"/>
        <w:rPr>
          <w:rFonts w:eastAsia="仿宋"/>
          <w:b/>
          <w:sz w:val="24"/>
        </w:rPr>
      </w:pPr>
    </w:p>
    <w:p w14:paraId="5D7C2FF1">
      <w:pPr>
        <w:widowControl/>
        <w:spacing w:after="0" w:line="240" w:lineRule="auto"/>
        <w:jc w:val="center"/>
        <w:rPr>
          <w:rFonts w:eastAsia="仿宋"/>
          <w:b/>
          <w:sz w:val="24"/>
        </w:rPr>
      </w:pPr>
    </w:p>
    <w:p w14:paraId="6199678D">
      <w:pPr>
        <w:widowControl/>
        <w:spacing w:after="0" w:line="240" w:lineRule="auto"/>
        <w:jc w:val="center"/>
        <w:rPr>
          <w:rFonts w:eastAsia="仿宋"/>
          <w:b/>
          <w:sz w:val="24"/>
        </w:rPr>
      </w:pPr>
    </w:p>
    <w:p w14:paraId="617996CC">
      <w:pPr>
        <w:widowControl/>
        <w:spacing w:after="0" w:line="240" w:lineRule="auto"/>
        <w:jc w:val="center"/>
        <w:rPr>
          <w:rFonts w:eastAsia="仿宋"/>
          <w:b/>
          <w:sz w:val="24"/>
        </w:rPr>
      </w:pPr>
    </w:p>
    <w:p w14:paraId="75BE7553">
      <w:pPr>
        <w:widowControl/>
        <w:spacing w:after="0" w:line="240" w:lineRule="auto"/>
        <w:jc w:val="center"/>
        <w:rPr>
          <w:rFonts w:eastAsia="仿宋"/>
          <w:b/>
          <w:sz w:val="24"/>
        </w:rPr>
      </w:pPr>
    </w:p>
    <w:p w14:paraId="3DB2DC71">
      <w:pPr>
        <w:widowControl/>
        <w:spacing w:after="0" w:line="240" w:lineRule="auto"/>
        <w:jc w:val="center"/>
        <w:rPr>
          <w:rFonts w:eastAsia="仿宋"/>
          <w:b/>
          <w:sz w:val="24"/>
        </w:rPr>
      </w:pPr>
    </w:p>
    <w:p w14:paraId="07DBFA4D">
      <w:pPr>
        <w:widowControl/>
        <w:spacing w:after="0" w:line="240" w:lineRule="auto"/>
        <w:jc w:val="center"/>
        <w:rPr>
          <w:rFonts w:eastAsia="仿宋"/>
          <w:b/>
          <w:sz w:val="24"/>
        </w:rPr>
      </w:pPr>
    </w:p>
    <w:p w14:paraId="0F9FEC56">
      <w:pPr>
        <w:widowControl/>
        <w:spacing w:after="0" w:line="240" w:lineRule="auto"/>
        <w:jc w:val="center"/>
        <w:rPr>
          <w:rFonts w:eastAsia="仿宋"/>
          <w:b/>
          <w:sz w:val="24"/>
        </w:rPr>
      </w:pPr>
    </w:p>
    <w:p w14:paraId="5F8BFC68">
      <w:pPr>
        <w:widowControl/>
        <w:spacing w:after="0" w:line="240" w:lineRule="auto"/>
        <w:jc w:val="center"/>
        <w:rPr>
          <w:rFonts w:eastAsia="仿宋"/>
          <w:b/>
          <w:sz w:val="24"/>
          <w:lang w:val="mn-MN"/>
        </w:rPr>
      </w:pPr>
    </w:p>
    <w:p w14:paraId="6041D8CC">
      <w:pPr>
        <w:widowControl/>
        <w:spacing w:after="0" w:line="240" w:lineRule="auto"/>
        <w:jc w:val="center"/>
        <w:rPr>
          <w:rFonts w:eastAsia="仿宋"/>
          <w:b/>
          <w:sz w:val="24"/>
          <w:lang w:val="mn-MN"/>
        </w:rPr>
      </w:pPr>
    </w:p>
    <w:p w14:paraId="3DD1F9F9">
      <w:pPr>
        <w:widowControl/>
        <w:spacing w:after="0" w:line="240" w:lineRule="auto"/>
        <w:rPr>
          <w:rFonts w:eastAsia="仿宋"/>
          <w:b/>
          <w:sz w:val="24"/>
          <w:lang w:val="mn-MN"/>
        </w:rPr>
      </w:pPr>
    </w:p>
    <w:p w14:paraId="1B836A92">
      <w:pPr>
        <w:widowControl/>
        <w:spacing w:after="0" w:line="240" w:lineRule="auto"/>
        <w:jc w:val="center"/>
        <w:rPr>
          <w:rFonts w:eastAsia="仿宋"/>
          <w:b/>
          <w:sz w:val="24"/>
          <w:lang w:val="mn-MN"/>
        </w:rPr>
      </w:pPr>
      <w:r>
        <w:rPr>
          <w:rFonts w:eastAsia="仿宋"/>
          <w:b/>
          <w:sz w:val="32"/>
          <w:lang w:val="mn-MN"/>
        </w:rPr>
        <w:t>Хоёр. Тендерт оролцох заавар</w:t>
      </w:r>
    </w:p>
    <w:p w14:paraId="01BDF337">
      <w:pPr>
        <w:widowControl/>
        <w:spacing w:after="0" w:line="240" w:lineRule="auto"/>
        <w:jc w:val="center"/>
        <w:rPr>
          <w:rFonts w:eastAsia="仿宋"/>
          <w:b/>
          <w:sz w:val="32"/>
          <w:szCs w:val="28"/>
          <w:lang w:val="mn-MN"/>
        </w:rPr>
      </w:pPr>
      <w:r>
        <w:rPr>
          <w:rFonts w:hint="eastAsia" w:eastAsia="仿宋"/>
          <w:b/>
          <w:sz w:val="28"/>
          <w:lang w:val="mn-MN"/>
        </w:rPr>
        <w:t>（</w:t>
      </w:r>
      <w:r>
        <w:rPr>
          <w:rFonts w:eastAsia="仿宋"/>
          <w:b/>
          <w:sz w:val="28"/>
          <w:lang w:val="mn-MN"/>
        </w:rPr>
        <w:t xml:space="preserve"> Нэг </w:t>
      </w:r>
      <w:r>
        <w:rPr>
          <w:rFonts w:hint="eastAsia" w:eastAsia="仿宋"/>
          <w:b/>
          <w:sz w:val="28"/>
          <w:lang w:val="mn-MN"/>
        </w:rPr>
        <w:t>）</w:t>
      </w:r>
      <w:r>
        <w:rPr>
          <w:rFonts w:eastAsia="仿宋"/>
          <w:b/>
          <w:sz w:val="28"/>
          <w:lang w:val="mn-MN"/>
        </w:rPr>
        <w:t xml:space="preserve"> Нийтлэг заалт </w:t>
      </w:r>
      <w:bookmarkStart w:id="6" w:name="_Toc462760511"/>
    </w:p>
    <w:p w14:paraId="2A778547">
      <w:pPr>
        <w:pStyle w:val="47"/>
        <w:numPr>
          <w:ilvl w:val="0"/>
          <w:numId w:val="3"/>
        </w:numPr>
        <w:spacing w:after="0" w:line="240" w:lineRule="auto"/>
        <w:ind w:firstLineChars="0"/>
        <w:rPr>
          <w:rFonts w:ascii="Times New Roman" w:hAnsi="Times New Roman" w:eastAsia="仿宋" w:cs="Times New Roman"/>
          <w:b/>
          <w:sz w:val="24"/>
          <w:szCs w:val="24"/>
          <w:lang w:val="mn-MN"/>
        </w:rPr>
      </w:pPr>
      <w:r>
        <w:rPr>
          <w:rFonts w:ascii="Times New Roman" w:hAnsi="Times New Roman" w:eastAsia="仿宋" w:cs="Times New Roman"/>
          <w:b/>
          <w:sz w:val="24"/>
          <w:szCs w:val="24"/>
          <w:lang w:val="mn-MN"/>
        </w:rPr>
        <w:t xml:space="preserve">Төслийн тойм </w:t>
      </w:r>
    </w:p>
    <w:p w14:paraId="044BEA2D">
      <w:pPr>
        <w:pStyle w:val="47"/>
        <w:numPr>
          <w:ilvl w:val="1"/>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Үндсэн тойм</w:t>
      </w:r>
    </w:p>
    <w:p w14:paraId="77D6BE9F">
      <w:pPr>
        <w:spacing w:after="0" w:line="240" w:lineRule="auto"/>
        <w:ind w:left="420" w:firstLine="300"/>
        <w:rPr>
          <w:rFonts w:eastAsia="仿宋"/>
          <w:sz w:val="24"/>
          <w:lang w:val="mn-MN"/>
        </w:rPr>
      </w:pPr>
      <w:r>
        <w:rPr>
          <w:rFonts w:eastAsia="仿宋"/>
          <w:sz w:val="24"/>
          <w:lang w:val="mn-MN"/>
        </w:rPr>
        <w:t>Монгол улсын Дорнод аймгийн Дашбалбар сумын нутагт орших Шинь Шинь ХХК-ний Улааны уурхай нь Чойбалсан хотоос 125 км оршдог. Жилд 900 мянган тн хүдэр олборлох төлөвлөгөөтэй бөгөөд төлөвлөгөө биелэгдсэн нөхцөлд жилд ойролцоогоор 60 мянган тн хар тугалга, цайрын баяжмал үйлдвэрлэнэ.</w:t>
      </w:r>
    </w:p>
    <w:p w14:paraId="3D3530B5">
      <w:pPr>
        <w:pStyle w:val="47"/>
        <w:numPr>
          <w:ilvl w:val="1"/>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Тендерийн агуулга:</w:t>
      </w:r>
    </w:p>
    <w:p w14:paraId="7EF726AF">
      <w:pPr>
        <w:spacing w:after="0" w:line="240" w:lineRule="auto"/>
        <w:ind w:left="420" w:firstLine="300"/>
        <w:rPr>
          <w:rFonts w:eastAsia="仿宋"/>
          <w:sz w:val="24"/>
          <w:lang w:val="mn-MN"/>
        </w:rPr>
      </w:pPr>
      <w:r>
        <w:rPr>
          <w:rFonts w:eastAsia="仿宋"/>
          <w:sz w:val="24"/>
          <w:lang w:val="mn-MN"/>
        </w:rPr>
        <w:t>Баяжмал воган тээвэрлэлтийн бүтээгдэхүүн 2 тн-оор савлагдах бөгөөд сард дунджаар 5</w:t>
      </w:r>
      <w:r>
        <w:rPr>
          <w:rFonts w:hint="eastAsia" w:eastAsia="仿宋"/>
          <w:sz w:val="24"/>
          <w:lang w:val="en-US" w:eastAsia="zh-CN"/>
        </w:rPr>
        <w:t>0</w:t>
      </w:r>
      <w:r>
        <w:rPr>
          <w:rFonts w:eastAsia="仿宋"/>
          <w:sz w:val="24"/>
          <w:lang w:val="mn-MN"/>
        </w:rPr>
        <w:t>00 тн тээвэрлэдэг. 202</w:t>
      </w:r>
      <w:r>
        <w:rPr>
          <w:rFonts w:hint="eastAsia" w:eastAsia="仿宋"/>
          <w:sz w:val="24"/>
          <w:lang w:val="en-US" w:eastAsia="zh-CN"/>
        </w:rPr>
        <w:t>6</w:t>
      </w:r>
      <w:r>
        <w:rPr>
          <w:rFonts w:eastAsia="仿宋"/>
          <w:sz w:val="24"/>
          <w:lang w:val="mn-MN"/>
        </w:rPr>
        <w:t xml:space="preserve"> оны </w:t>
      </w:r>
      <w:r>
        <w:rPr>
          <w:rFonts w:hint="eastAsia" w:eastAsia="仿宋"/>
          <w:sz w:val="24"/>
          <w:lang w:val="en-US" w:eastAsia="zh-CN"/>
        </w:rPr>
        <w:t>3</w:t>
      </w:r>
      <w:r>
        <w:rPr>
          <w:rFonts w:eastAsia="仿宋"/>
          <w:sz w:val="24"/>
          <w:lang w:val="mn-MN"/>
        </w:rPr>
        <w:t xml:space="preserve"> сараас 202</w:t>
      </w:r>
      <w:r>
        <w:rPr>
          <w:rFonts w:hint="eastAsia" w:eastAsia="仿宋"/>
          <w:sz w:val="24"/>
          <w:lang w:val="en-US" w:eastAsia="zh-CN"/>
        </w:rPr>
        <w:t>7</w:t>
      </w:r>
      <w:r>
        <w:rPr>
          <w:rFonts w:eastAsia="仿宋"/>
          <w:sz w:val="24"/>
          <w:lang w:val="mn-MN"/>
        </w:rPr>
        <w:t xml:space="preserve"> оны </w:t>
      </w:r>
      <w:r>
        <w:rPr>
          <w:rFonts w:hint="eastAsia" w:eastAsia="仿宋"/>
          <w:sz w:val="24"/>
          <w:lang w:val="en-US" w:eastAsia="zh-CN"/>
        </w:rPr>
        <w:t>2</w:t>
      </w:r>
      <w:r>
        <w:rPr>
          <w:rFonts w:eastAsia="仿宋"/>
          <w:sz w:val="24"/>
          <w:lang w:val="mn-MN"/>
        </w:rPr>
        <w:t xml:space="preserve"> сар хүртэл ойролцоогоор </w:t>
      </w:r>
      <w:r>
        <w:rPr>
          <w:rFonts w:eastAsia="仿宋"/>
          <w:sz w:val="24"/>
        </w:rPr>
        <w:t>6</w:t>
      </w:r>
      <w:r>
        <w:rPr>
          <w:rFonts w:hint="eastAsia" w:eastAsia="仿宋"/>
          <w:sz w:val="24"/>
          <w:lang w:val="en-US" w:eastAsia="zh-CN"/>
        </w:rPr>
        <w:t>5</w:t>
      </w:r>
      <w:r>
        <w:rPr>
          <w:rFonts w:eastAsia="仿宋"/>
          <w:sz w:val="24"/>
          <w:lang w:val="mn-MN"/>
        </w:rPr>
        <w:t>000 тн баяжмал тээвэрлэхээр төлөвлөж байна. Монголын Баянтүмэн өртөөнөөс ачилт хийж, Оросоор дамжин Хятадын Манжуур хотод хүрэх бөгөөд нийт 439 км болно.</w:t>
      </w:r>
    </w:p>
    <w:p w14:paraId="24BC999B">
      <w:pPr>
        <w:spacing w:after="0" w:line="240" w:lineRule="auto"/>
        <w:ind w:left="420" w:firstLine="300"/>
        <w:rPr>
          <w:rFonts w:eastAsia="仿宋"/>
          <w:sz w:val="24"/>
          <w:lang w:val="mn-MN"/>
        </w:rPr>
      </w:pPr>
    </w:p>
    <w:p w14:paraId="44B1F98A">
      <w:pPr>
        <w:pStyle w:val="47"/>
        <w:numPr>
          <w:ilvl w:val="0"/>
          <w:numId w:val="3"/>
        </w:numPr>
        <w:spacing w:after="0" w:line="240" w:lineRule="auto"/>
        <w:ind w:firstLineChars="0"/>
        <w:rPr>
          <w:rFonts w:ascii="Times New Roman" w:hAnsi="Times New Roman" w:eastAsia="仿宋" w:cs="Times New Roman"/>
          <w:b/>
          <w:sz w:val="24"/>
          <w:szCs w:val="24"/>
          <w:lang w:val="mn-MN"/>
        </w:rPr>
      </w:pPr>
      <w:r>
        <w:rPr>
          <w:rFonts w:ascii="Times New Roman" w:hAnsi="Times New Roman" w:eastAsia="仿宋" w:cs="Times New Roman"/>
          <w:b/>
          <w:sz w:val="24"/>
          <w:szCs w:val="24"/>
          <w:lang w:val="mn-MN"/>
        </w:rPr>
        <w:t xml:space="preserve">Тендерт оролцогчийн шаардлага </w:t>
      </w:r>
    </w:p>
    <w:p w14:paraId="14F4F514">
      <w:pPr>
        <w:pStyle w:val="47"/>
        <w:numPr>
          <w:ilvl w:val="1"/>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Тендерт оролцогч нь өмнөх хавсралтын 6-р заалтын шаардлагыг хангасан байна.</w:t>
      </w:r>
    </w:p>
    <w:p w14:paraId="05D7B419">
      <w:pPr>
        <w:pStyle w:val="47"/>
        <w:numPr>
          <w:ilvl w:val="1"/>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Тендерт оролцогч нь гэрээ байгуулах эрх авахын тулд тендерийн болзол хангасан, гэрээг гүйцэтгэх чадвартай гэдгийг нотлох тендерийн баримт бичигт тавигдах шаардлагад нийцсэн баримт бичгийг ирүүлсэн байх ёстой. Тендерийн бичиг баримтанд дараах материалуудыг ирүүлнэ: </w:t>
      </w:r>
    </w:p>
    <w:p w14:paraId="5F076F84">
      <w:pPr>
        <w:pStyle w:val="47"/>
        <w:numPr>
          <w:ilvl w:val="2"/>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Улсын бүртгэлийн гэрчилгээ, Татварын гэрчилгээ, Зам тээврийн тусгай зөвшөөрөл </w:t>
      </w:r>
    </w:p>
    <w:p w14:paraId="44B7F70C">
      <w:pPr>
        <w:pStyle w:val="47"/>
        <w:numPr>
          <w:ilvl w:val="2"/>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Тендерт оролцогч нь сүүлийн 3 жилд ижил төрлийн бүтээгдэхүүн тээвэрлэлт хийж байсан байх </w:t>
      </w:r>
      <w:r>
        <w:rPr>
          <w:rFonts w:hint="eastAsia" w:ascii="Times New Roman" w:hAnsi="Times New Roman" w:eastAsia="仿宋" w:cs="Times New Roman"/>
          <w:sz w:val="24"/>
          <w:szCs w:val="24"/>
          <w:lang w:val="mn-MN"/>
        </w:rPr>
        <w:t>(</w:t>
      </w:r>
      <w:r>
        <w:rPr>
          <w:rFonts w:ascii="Times New Roman" w:hAnsi="Times New Roman" w:eastAsia="仿宋" w:cs="Times New Roman"/>
          <w:sz w:val="24"/>
          <w:szCs w:val="24"/>
          <w:lang w:val="mn-MN"/>
        </w:rPr>
        <w:t xml:space="preserve">Гэрээ болон тодорхойлох материалыг хавсаргах </w:t>
      </w:r>
      <w:r>
        <w:rPr>
          <w:rFonts w:hint="eastAsia" w:ascii="Times New Roman" w:hAnsi="Times New Roman" w:eastAsia="仿宋" w:cs="Times New Roman"/>
          <w:sz w:val="24"/>
          <w:szCs w:val="24"/>
          <w:lang w:val="mn-MN"/>
        </w:rPr>
        <w:t>)</w:t>
      </w:r>
    </w:p>
    <w:p w14:paraId="4F09A2FF">
      <w:pPr>
        <w:pStyle w:val="47"/>
        <w:numPr>
          <w:ilvl w:val="2"/>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Тендерт оролцогч санхүүгийн байдлын талаарх материалаар хангана, үүнд сүүлийн 3 жилийн аудитын санхүүгийн тайлан багтана. </w:t>
      </w:r>
      <w:r>
        <w:rPr>
          <w:rFonts w:hint="eastAsia" w:ascii="Times New Roman" w:hAnsi="Times New Roman" w:eastAsia="仿宋" w:cs="Times New Roman"/>
          <w:sz w:val="24"/>
          <w:szCs w:val="24"/>
          <w:lang w:val="mn-MN"/>
        </w:rPr>
        <w:t>(</w:t>
      </w:r>
      <w:r>
        <w:rPr>
          <w:rFonts w:ascii="Times New Roman" w:hAnsi="Times New Roman" w:eastAsia="仿宋" w:cs="Times New Roman"/>
          <w:sz w:val="24"/>
          <w:szCs w:val="24"/>
          <w:lang w:val="mn-MN"/>
        </w:rPr>
        <w:t xml:space="preserve">Хуулбар дээр тамга дарсан байна </w:t>
      </w:r>
      <w:r>
        <w:rPr>
          <w:rFonts w:hint="eastAsia" w:ascii="Times New Roman" w:hAnsi="Times New Roman" w:eastAsia="仿宋" w:cs="Times New Roman"/>
          <w:sz w:val="24"/>
          <w:szCs w:val="24"/>
          <w:lang w:val="mn-MN"/>
        </w:rPr>
        <w:t>)</w:t>
      </w:r>
    </w:p>
    <w:p w14:paraId="6A964253">
      <w:pPr>
        <w:pStyle w:val="47"/>
        <w:numPr>
          <w:ilvl w:val="2"/>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Сүүүлийн 3 жилд том хэмжээний осол аваар, зөрчил гаргаагүй гэх тодорхойлолт.</w:t>
      </w:r>
    </w:p>
    <w:p w14:paraId="462CBF85">
      <w:pPr>
        <w:pStyle w:val="47"/>
        <w:numPr>
          <w:ilvl w:val="2"/>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Өмнө болон сүүлийн 3 жилд шүүх хэрэг, маргаанд оролцож байсан материал.  </w:t>
      </w:r>
      <w:r>
        <w:rPr>
          <w:rFonts w:ascii="Times New Roman" w:hAnsi="Times New Roman" w:eastAsia="仿宋" w:cs="Times New Roman"/>
          <w:sz w:val="24"/>
          <w:szCs w:val="24"/>
        </w:rPr>
        <w:t xml:space="preserve">( </w:t>
      </w:r>
      <w:r>
        <w:rPr>
          <w:rFonts w:ascii="Times New Roman" w:hAnsi="Times New Roman" w:eastAsia="仿宋" w:cs="Times New Roman"/>
          <w:sz w:val="24"/>
          <w:szCs w:val="24"/>
          <w:lang w:val="mn-MN"/>
        </w:rPr>
        <w:t>Хэрэв байвал )</w:t>
      </w:r>
    </w:p>
    <w:p w14:paraId="0255A784">
      <w:pPr>
        <w:pStyle w:val="47"/>
        <w:spacing w:after="0" w:line="240" w:lineRule="auto"/>
        <w:ind w:left="1440" w:firstLine="0" w:firstLineChars="0"/>
        <w:rPr>
          <w:rFonts w:ascii="Times New Roman" w:hAnsi="Times New Roman" w:eastAsia="仿宋" w:cs="Times New Roman"/>
          <w:sz w:val="24"/>
          <w:szCs w:val="24"/>
          <w:lang w:val="mn-MN"/>
        </w:rPr>
      </w:pPr>
    </w:p>
    <w:p w14:paraId="62C6085A">
      <w:pPr>
        <w:pStyle w:val="47"/>
        <w:numPr>
          <w:ilvl w:val="0"/>
          <w:numId w:val="3"/>
        </w:numPr>
        <w:spacing w:after="0" w:line="240" w:lineRule="auto"/>
        <w:ind w:firstLineChars="0"/>
        <w:rPr>
          <w:rFonts w:ascii="Times New Roman" w:hAnsi="Times New Roman" w:eastAsia="仿宋" w:cs="Times New Roman"/>
          <w:b/>
          <w:sz w:val="24"/>
          <w:szCs w:val="24"/>
          <w:lang w:val="mn-MN"/>
        </w:rPr>
      </w:pPr>
      <w:r>
        <w:rPr>
          <w:rFonts w:ascii="Times New Roman" w:hAnsi="Times New Roman" w:eastAsia="仿宋" w:cs="Times New Roman"/>
          <w:b/>
          <w:sz w:val="24"/>
          <w:szCs w:val="24"/>
          <w:lang w:val="mn-MN"/>
        </w:rPr>
        <w:t xml:space="preserve">Тендерийн зардал </w:t>
      </w:r>
    </w:p>
    <w:p w14:paraId="4C2F5E8A">
      <w:pPr>
        <w:pStyle w:val="47"/>
        <w:spacing w:after="0" w:line="240" w:lineRule="auto"/>
        <w:ind w:left="360" w:firstLine="0"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Тендерт оролцогч тендерт оролцох аливаа зардалыг өөрсдөө хариуцна.</w:t>
      </w:r>
    </w:p>
    <w:p w14:paraId="4B55AD41">
      <w:pPr>
        <w:pStyle w:val="47"/>
        <w:spacing w:after="0" w:line="240" w:lineRule="auto"/>
        <w:ind w:left="360" w:firstLine="0" w:firstLineChars="0"/>
        <w:rPr>
          <w:rFonts w:ascii="Times New Roman" w:hAnsi="Times New Roman" w:eastAsia="仿宋" w:cs="Times New Roman"/>
          <w:sz w:val="24"/>
          <w:szCs w:val="24"/>
          <w:lang w:val="mn-MN"/>
        </w:rPr>
      </w:pPr>
    </w:p>
    <w:p w14:paraId="0366BEE8">
      <w:pPr>
        <w:pStyle w:val="47"/>
        <w:numPr>
          <w:ilvl w:val="0"/>
          <w:numId w:val="3"/>
        </w:numPr>
        <w:spacing w:after="0" w:line="240" w:lineRule="auto"/>
        <w:ind w:firstLineChars="0"/>
        <w:rPr>
          <w:rFonts w:ascii="Times New Roman" w:hAnsi="Times New Roman" w:eastAsia="仿宋" w:cs="Times New Roman"/>
          <w:b/>
          <w:sz w:val="24"/>
          <w:szCs w:val="24"/>
          <w:lang w:val="mn-MN"/>
        </w:rPr>
      </w:pPr>
      <w:r>
        <w:rPr>
          <w:rFonts w:ascii="Times New Roman" w:hAnsi="Times New Roman" w:eastAsia="仿宋" w:cs="Times New Roman"/>
          <w:b/>
          <w:sz w:val="24"/>
          <w:szCs w:val="24"/>
          <w:lang w:val="mn-MN"/>
        </w:rPr>
        <w:t xml:space="preserve"> Тухайн газрын үзлэг шалгалт</w:t>
      </w:r>
    </w:p>
    <w:p w14:paraId="4758C3A2">
      <w:pPr>
        <w:pStyle w:val="47"/>
        <w:numPr>
          <w:ilvl w:val="1"/>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Тендерт оролцогч нь тендерийн баримт бичгийг бүрдүүлэхэд шаардагдах мэдээллийг олж авахын тулд тээвэрлэлт хийж буй газар болон ойр орчмын газруудад биечлэн очиж үзлэг шалгалт хийх бөгөөд газар дээр нь үзлэг шалгалт хийгээгүйн улмаас үүсэх хохирлыг өөрсдөө хариуцна. </w:t>
      </w:r>
    </w:p>
    <w:p w14:paraId="468B1600">
      <w:pPr>
        <w:pStyle w:val="47"/>
        <w:numPr>
          <w:ilvl w:val="1"/>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Газар дээр нь үзлэг шалгалт хийх зардалыг тендерт оролцогч өөрөө хариуцна. </w:t>
      </w:r>
    </w:p>
    <w:p w14:paraId="30A36867">
      <w:pPr>
        <w:spacing w:after="0" w:line="240" w:lineRule="auto"/>
        <w:jc w:val="center"/>
        <w:rPr>
          <w:rFonts w:eastAsia="仿宋"/>
          <w:b/>
          <w:sz w:val="28"/>
          <w:lang w:val="mn-MN"/>
        </w:rPr>
      </w:pPr>
    </w:p>
    <w:p w14:paraId="67307A3C">
      <w:pPr>
        <w:spacing w:after="0" w:line="240" w:lineRule="auto"/>
        <w:jc w:val="center"/>
        <w:rPr>
          <w:rFonts w:eastAsia="仿宋"/>
          <w:b/>
          <w:sz w:val="28"/>
          <w:lang w:val="mn-MN"/>
        </w:rPr>
      </w:pPr>
      <w:r>
        <w:rPr>
          <w:rFonts w:eastAsia="仿宋"/>
          <w:b/>
          <w:sz w:val="28"/>
          <w:lang w:val="mn-MN"/>
        </w:rPr>
        <w:t>（Хоёр）Тендерийн баримт бичиг</w:t>
      </w:r>
    </w:p>
    <w:p w14:paraId="7995D11E">
      <w:pPr>
        <w:spacing w:after="0" w:line="240" w:lineRule="auto"/>
        <w:rPr>
          <w:rFonts w:eastAsia="仿宋"/>
          <w:b/>
          <w:sz w:val="24"/>
          <w:lang w:val="mn-MN"/>
        </w:rPr>
      </w:pPr>
      <w:r>
        <w:rPr>
          <w:rFonts w:eastAsia="仿宋"/>
          <w:b/>
          <w:sz w:val="24"/>
          <w:lang w:val="mn-MN"/>
        </w:rPr>
        <w:t>5. Тендерийн баримт бичгийн бүтэц</w:t>
      </w:r>
    </w:p>
    <w:p w14:paraId="4A325A38">
      <w:pPr>
        <w:spacing w:after="0" w:line="240" w:lineRule="auto"/>
        <w:rPr>
          <w:rFonts w:eastAsia="仿宋"/>
          <w:sz w:val="24"/>
          <w:lang w:val="mn-MN"/>
        </w:rPr>
      </w:pPr>
      <w:r>
        <w:rPr>
          <w:rFonts w:eastAsia="仿宋"/>
          <w:sz w:val="24"/>
          <w:lang w:val="mn-MN"/>
        </w:rPr>
        <w:t>5.1 Тендерийн баримт бичигт агуулга багтана: Ерөнхий гарчгийг харах.</w:t>
      </w:r>
    </w:p>
    <w:p w14:paraId="625DB5E4">
      <w:pPr>
        <w:spacing w:after="0" w:line="240" w:lineRule="auto"/>
        <w:rPr>
          <w:rFonts w:eastAsia="仿宋"/>
          <w:sz w:val="24"/>
          <w:lang w:val="mn-MN"/>
        </w:rPr>
      </w:pPr>
      <w:r>
        <w:rPr>
          <w:rFonts w:eastAsia="仿宋"/>
          <w:sz w:val="24"/>
          <w:lang w:val="mn-MN"/>
        </w:rPr>
        <w:t xml:space="preserve">5.2 Тендерийн баримт бичигт заасан асуулт хариултын хугацаа эхлэхээс өмнө тендер зарлагчаас бичгээр гаргасан аливаа тодруулга, нэмэлт өөрчлөлт нь тендерийн баримт бичгийн салшгүй хэсэг болох бөгөөд тендер зарлагч болон тендерт оролцогч биелүүлж ажиллана. </w:t>
      </w:r>
    </w:p>
    <w:p w14:paraId="48BEEDF9">
      <w:pPr>
        <w:spacing w:after="0" w:line="240" w:lineRule="auto"/>
        <w:rPr>
          <w:rFonts w:eastAsia="仿宋"/>
          <w:sz w:val="24"/>
          <w:lang w:val="mn-MN"/>
        </w:rPr>
      </w:pPr>
    </w:p>
    <w:p w14:paraId="5BDB8D89">
      <w:pPr>
        <w:spacing w:after="0" w:line="240" w:lineRule="auto"/>
        <w:rPr>
          <w:rFonts w:eastAsia="仿宋"/>
          <w:b/>
          <w:sz w:val="24"/>
          <w:lang w:val="mn-MN"/>
        </w:rPr>
      </w:pPr>
      <w:r>
        <w:rPr>
          <w:rFonts w:eastAsia="仿宋"/>
          <w:b/>
          <w:sz w:val="24"/>
          <w:lang w:val="mn-MN"/>
        </w:rPr>
        <w:t>6. Тендерийн баримт бичгийн тодруулга</w:t>
      </w:r>
    </w:p>
    <w:p w14:paraId="4F140F9B">
      <w:pPr>
        <w:spacing w:after="0" w:line="240" w:lineRule="auto"/>
        <w:ind w:firstLine="420"/>
        <w:rPr>
          <w:rFonts w:eastAsia="仿宋"/>
          <w:sz w:val="24"/>
          <w:lang w:val="mn-MN"/>
        </w:rPr>
      </w:pPr>
      <w:r>
        <w:rPr>
          <w:rFonts w:eastAsia="仿宋"/>
          <w:sz w:val="24"/>
          <w:lang w:val="mn-MN"/>
        </w:rPr>
        <w:t>Тендерт оролцогч нь тендерийн материалаас аливаа асууж тодруулах зүйл байвал 202</w:t>
      </w:r>
      <w:r>
        <w:rPr>
          <w:rFonts w:hint="eastAsia" w:eastAsia="仿宋"/>
          <w:sz w:val="24"/>
          <w:lang w:val="en-US" w:eastAsia="zh-CN"/>
        </w:rPr>
        <w:t>6</w:t>
      </w:r>
      <w:r>
        <w:rPr>
          <w:rFonts w:eastAsia="仿宋"/>
          <w:sz w:val="24"/>
          <w:lang w:val="mn-MN"/>
        </w:rPr>
        <w:t xml:space="preserve"> оны </w:t>
      </w:r>
      <w:r>
        <w:rPr>
          <w:rFonts w:hint="eastAsia" w:eastAsia="仿宋"/>
          <w:sz w:val="24"/>
          <w:lang w:val="en-US" w:eastAsia="zh-CN"/>
        </w:rPr>
        <w:t>02</w:t>
      </w:r>
      <w:r>
        <w:rPr>
          <w:rFonts w:eastAsia="仿宋"/>
          <w:sz w:val="24"/>
          <w:lang w:val="mn-MN"/>
        </w:rPr>
        <w:t xml:space="preserve"> сарын</w:t>
      </w:r>
      <w:r>
        <w:rPr>
          <w:rFonts w:hint="eastAsia" w:eastAsia="仿宋"/>
          <w:sz w:val="24"/>
          <w:lang w:val="en-US" w:eastAsia="zh-CN"/>
        </w:rPr>
        <w:t xml:space="preserve"> 21</w:t>
      </w:r>
      <w:r>
        <w:rPr>
          <w:rFonts w:eastAsia="仿宋"/>
          <w:sz w:val="24"/>
          <w:lang w:val="mn-MN"/>
        </w:rPr>
        <w:t xml:space="preserve">-нд материал хүлээлгэж өгөхөөс өмнө </w:t>
      </w:r>
      <w:r>
        <w:rPr>
          <w:rFonts w:hint="eastAsia" w:eastAsia="仿宋"/>
          <w:sz w:val="24"/>
          <w:lang w:val="mn-MN"/>
        </w:rPr>
        <w:t>（</w:t>
      </w:r>
      <w:r>
        <w:rPr>
          <w:rFonts w:eastAsia="仿宋"/>
          <w:sz w:val="24"/>
          <w:lang w:val="mn-MN"/>
        </w:rPr>
        <w:t>тухайн хугацаа өнгөрсний дараа асуусан аливаа асуултанд тендер зарлагч хариу өгөхгүй</w:t>
      </w:r>
      <w:r>
        <w:rPr>
          <w:rFonts w:hint="eastAsia" w:eastAsia="仿宋"/>
          <w:sz w:val="24"/>
          <w:lang w:val="mn-MN"/>
        </w:rPr>
        <w:t>）</w:t>
      </w:r>
      <w:r>
        <w:rPr>
          <w:rFonts w:eastAsia="仿宋"/>
          <w:sz w:val="24"/>
          <w:lang w:val="mn-MN"/>
        </w:rPr>
        <w:t>тендер зарлагчаас бичгээр тодруулах шаардлагатай. Тендер зарлагч тендерийн материалд ямар нэг тодруулга хийх эсвэл тендерт оролцогчийн шаардлагын дагуу тендерийн материалд тодруулга хийх тохиолдолд 202</w:t>
      </w:r>
      <w:r>
        <w:rPr>
          <w:rFonts w:hint="eastAsia" w:eastAsia="仿宋"/>
          <w:sz w:val="24"/>
          <w:lang w:val="en-US" w:eastAsia="zh-CN"/>
        </w:rPr>
        <w:t>6</w:t>
      </w:r>
      <w:r>
        <w:rPr>
          <w:rFonts w:eastAsia="仿宋"/>
          <w:sz w:val="24"/>
          <w:lang w:val="mn-MN"/>
        </w:rPr>
        <w:t xml:space="preserve"> оны </w:t>
      </w:r>
      <w:r>
        <w:rPr>
          <w:rFonts w:hint="eastAsia" w:eastAsia="仿宋"/>
          <w:sz w:val="24"/>
          <w:lang w:val="en-US" w:eastAsia="zh-CN"/>
        </w:rPr>
        <w:t>02</w:t>
      </w:r>
      <w:r>
        <w:rPr>
          <w:rFonts w:eastAsia="仿宋"/>
          <w:sz w:val="24"/>
          <w:lang w:val="mn-MN"/>
        </w:rPr>
        <w:t xml:space="preserve"> сарын </w:t>
      </w:r>
      <w:r>
        <w:rPr>
          <w:rFonts w:hint="eastAsia" w:eastAsia="仿宋"/>
          <w:sz w:val="24"/>
          <w:lang w:val="en-US" w:eastAsia="zh-CN"/>
        </w:rPr>
        <w:t>21</w:t>
      </w:r>
      <w:r>
        <w:rPr>
          <w:rFonts w:eastAsia="仿宋"/>
          <w:sz w:val="24"/>
          <w:lang w:val="mn-MN"/>
        </w:rPr>
        <w:t>-ны өдрөөс өмнө бичгээр бүх тендерт оролцогчид илгээнэ. Тендерт оролцогч тодруулах бичиг баримтыг хүлээн авснаас хойш нэн даруй бичгээр хүлээн авсан хариуг мэдэгдэнэ. Тус тодруулга нь тендерийн баримт бичгийн нэг хэсэг болох бөгөөд ижил хэрэгжүүлж ажиллана.</w:t>
      </w:r>
    </w:p>
    <w:p w14:paraId="263E47C3">
      <w:pPr>
        <w:spacing w:after="0" w:line="240" w:lineRule="auto"/>
        <w:ind w:firstLine="420"/>
        <w:rPr>
          <w:rFonts w:eastAsia="仿宋"/>
          <w:sz w:val="24"/>
          <w:lang w:val="mn-MN"/>
        </w:rPr>
      </w:pPr>
    </w:p>
    <w:p w14:paraId="33D1A063">
      <w:pPr>
        <w:spacing w:after="0" w:line="240" w:lineRule="auto"/>
        <w:rPr>
          <w:rFonts w:eastAsia="仿宋"/>
          <w:b/>
          <w:sz w:val="24"/>
          <w:lang w:val="mn-MN"/>
        </w:rPr>
      </w:pPr>
      <w:r>
        <w:rPr>
          <w:rFonts w:eastAsia="仿宋"/>
          <w:b/>
          <w:sz w:val="24"/>
          <w:lang w:val="mn-MN"/>
        </w:rPr>
        <w:t>7. Тендерийн бичиг баримтанд засвар оруулах</w:t>
      </w:r>
    </w:p>
    <w:p w14:paraId="5E564CE7">
      <w:pPr>
        <w:spacing w:after="0" w:line="240" w:lineRule="auto"/>
        <w:rPr>
          <w:rFonts w:eastAsia="仿宋"/>
          <w:sz w:val="24"/>
          <w:lang w:val="mn-MN"/>
        </w:rPr>
      </w:pPr>
      <w:r>
        <w:rPr>
          <w:rFonts w:eastAsia="仿宋"/>
          <w:sz w:val="24"/>
          <w:lang w:val="mn-MN"/>
        </w:rPr>
        <w:t xml:space="preserve">7.1 Тендерийн баримт бичиг гарснаас хойш, тендерийн сүүлийн хугацаа дуусахаас 15 хоногийн өмнө тендер зарлагч ямар нэгэн шалтгаантай эсвэл тендерт оролцогчоос гаргасан тодруулгыг тендерийн баримт бичигт нөхөн засаж оруулна. </w:t>
      </w:r>
    </w:p>
    <w:p w14:paraId="4EBE9CC4">
      <w:pPr>
        <w:spacing w:after="0" w:line="240" w:lineRule="auto"/>
        <w:rPr>
          <w:rFonts w:eastAsia="仿宋"/>
          <w:sz w:val="24"/>
          <w:lang w:val="mn-MN"/>
        </w:rPr>
      </w:pPr>
      <w:r>
        <w:rPr>
          <w:rFonts w:eastAsia="仿宋"/>
          <w:sz w:val="24"/>
          <w:lang w:val="mn-MN"/>
        </w:rPr>
        <w:t xml:space="preserve">7.2 Тендерийн баримт бичигийг засаж өөрчилснийг тендерт оролцогчдод бичгээр илгээх ба тендерт оролцогчид хүлээн авсан даруйд бичгээр мэдэгдэнэ. Тендерийн материалын засаж өөрчилсөн хэсэг тендерийн материалын нэг хэсэг болох бөгөөд ижил хэрэгжүүлнэ. </w:t>
      </w:r>
    </w:p>
    <w:p w14:paraId="42ACA39B">
      <w:pPr>
        <w:spacing w:after="0" w:line="240" w:lineRule="auto"/>
        <w:rPr>
          <w:rFonts w:eastAsia="仿宋"/>
          <w:sz w:val="24"/>
          <w:lang w:val="mn-MN"/>
        </w:rPr>
      </w:pPr>
      <w:r>
        <w:rPr>
          <w:rFonts w:eastAsia="仿宋"/>
          <w:sz w:val="24"/>
          <w:lang w:val="mn-MN"/>
        </w:rPr>
        <w:t xml:space="preserve">7.3 Тендерийн баримт бичгийн тодруулсан, засвар оруулсан, нөхөж оруулсан зэрэг агуулгыг бичгээр тодорхой үйлдэж баримтална. Тус тендерийн баримт бичгийн тодруулсан, засварласан, нөхсөн зэргийн агуулга нь хоорондоо нийцэхгүй байвал хамгийн сүүлд гаргасан баримт бичгийг гол болгоно. </w:t>
      </w:r>
    </w:p>
    <w:p w14:paraId="0106662A">
      <w:pPr>
        <w:spacing w:after="0" w:line="240" w:lineRule="auto"/>
        <w:rPr>
          <w:rFonts w:eastAsia="仿宋"/>
          <w:sz w:val="24"/>
          <w:lang w:val="mn-MN"/>
        </w:rPr>
      </w:pPr>
      <w:r>
        <w:rPr>
          <w:rFonts w:eastAsia="仿宋"/>
          <w:sz w:val="24"/>
          <w:lang w:val="mn-MN"/>
        </w:rPr>
        <w:t xml:space="preserve">7.4 Тендерт оролцогчдод тендерийн баримт бичгийг бүрдүүлэхдээ тендерийн баримт бичгийн тодруулга, нэмэлт, өөрчлөлт, зэргийг судлах хангалттай хугацаа олгох үүднээс тендерийн баримт бичгийг ирүүлэх эцсийн хугацааг зохих ёсоор сунгаж, тодорхой хугацааг тендерийн баримт бичигт өөрчлөлт оруулах болон нэмэлт оруулах тухай мэдэгдэнэ.  </w:t>
      </w:r>
    </w:p>
    <w:p w14:paraId="0A016423">
      <w:pPr>
        <w:spacing w:after="0" w:line="240" w:lineRule="auto"/>
        <w:rPr>
          <w:rFonts w:eastAsia="仿宋"/>
          <w:sz w:val="24"/>
          <w:lang w:val="mn-MN"/>
        </w:rPr>
      </w:pPr>
      <w:r>
        <w:rPr>
          <w:rFonts w:eastAsia="仿宋"/>
          <w:sz w:val="24"/>
          <w:lang w:val="mn-MN"/>
        </w:rPr>
        <w:t xml:space="preserve">                                                                                                                                                                                                                                                                                                                              </w:t>
      </w:r>
    </w:p>
    <w:p w14:paraId="7669842E">
      <w:pPr>
        <w:spacing w:after="0" w:line="240" w:lineRule="auto"/>
        <w:rPr>
          <w:rFonts w:eastAsia="仿宋"/>
          <w:sz w:val="24"/>
          <w:lang w:val="mn-MN"/>
        </w:rPr>
      </w:pPr>
    </w:p>
    <w:p w14:paraId="7B92E175">
      <w:pPr>
        <w:spacing w:after="0" w:line="240" w:lineRule="auto"/>
        <w:rPr>
          <w:rFonts w:eastAsia="仿宋"/>
          <w:sz w:val="24"/>
          <w:lang w:val="mn-MN"/>
        </w:rPr>
      </w:pPr>
    </w:p>
    <w:p w14:paraId="4DCBF694">
      <w:pPr>
        <w:spacing w:after="0" w:line="240" w:lineRule="auto"/>
        <w:rPr>
          <w:rFonts w:eastAsia="仿宋"/>
          <w:sz w:val="24"/>
          <w:lang w:val="mn-MN"/>
        </w:rPr>
      </w:pPr>
    </w:p>
    <w:p w14:paraId="3F88B946">
      <w:pPr>
        <w:spacing w:after="0" w:line="240" w:lineRule="auto"/>
        <w:rPr>
          <w:rFonts w:eastAsia="仿宋"/>
          <w:sz w:val="24"/>
          <w:lang w:val="mn-MN"/>
        </w:rPr>
      </w:pPr>
    </w:p>
    <w:p w14:paraId="3D5FDAD3">
      <w:pPr>
        <w:spacing w:after="0" w:line="240" w:lineRule="auto"/>
        <w:rPr>
          <w:rFonts w:eastAsia="仿宋"/>
          <w:sz w:val="24"/>
          <w:lang w:val="mn-MN"/>
        </w:rPr>
      </w:pPr>
    </w:p>
    <w:p w14:paraId="027AD0D4">
      <w:pPr>
        <w:spacing w:after="0" w:line="240" w:lineRule="auto"/>
        <w:rPr>
          <w:rFonts w:eastAsia="仿宋"/>
          <w:sz w:val="24"/>
          <w:lang w:val="mn-MN"/>
        </w:rPr>
      </w:pPr>
    </w:p>
    <w:p w14:paraId="001077DB">
      <w:pPr>
        <w:spacing w:after="0" w:line="240" w:lineRule="auto"/>
        <w:rPr>
          <w:rFonts w:eastAsia="仿宋"/>
          <w:sz w:val="24"/>
          <w:lang w:val="mn-MN"/>
        </w:rPr>
      </w:pPr>
    </w:p>
    <w:p w14:paraId="2818B00C">
      <w:pPr>
        <w:spacing w:after="0" w:line="240" w:lineRule="auto"/>
        <w:jc w:val="center"/>
        <w:rPr>
          <w:rFonts w:eastAsia="仿宋"/>
          <w:b/>
          <w:sz w:val="32"/>
          <w:lang w:val="mn-MN"/>
        </w:rPr>
      </w:pPr>
      <w:r>
        <w:rPr>
          <w:rFonts w:eastAsia="仿宋"/>
          <w:b/>
          <w:sz w:val="32"/>
          <w:lang w:val="mn-MN"/>
        </w:rPr>
        <w:t>（Гурав）Тендерийн баримт бичгийг бэлтгэх</w:t>
      </w:r>
    </w:p>
    <w:p w14:paraId="136F25AD">
      <w:pPr>
        <w:spacing w:after="0" w:line="240" w:lineRule="auto"/>
        <w:rPr>
          <w:rFonts w:eastAsia="仿宋"/>
          <w:b/>
          <w:sz w:val="32"/>
          <w:lang w:val="mn-MN"/>
        </w:rPr>
      </w:pPr>
    </w:p>
    <w:p w14:paraId="4CC3F808">
      <w:pPr>
        <w:spacing w:after="0" w:line="240" w:lineRule="auto"/>
        <w:rPr>
          <w:rFonts w:eastAsia="仿宋"/>
          <w:b/>
          <w:sz w:val="24"/>
          <w:lang w:val="mn-MN"/>
        </w:rPr>
      </w:pPr>
      <w:r>
        <w:rPr>
          <w:rFonts w:eastAsia="仿宋"/>
          <w:b/>
          <w:sz w:val="24"/>
          <w:lang w:val="mn-MN"/>
        </w:rPr>
        <w:t>8. Тендерийн баримт бичгийн хэл болон хэмжих нэгж</w:t>
      </w:r>
    </w:p>
    <w:p w14:paraId="096CD790">
      <w:pPr>
        <w:spacing w:after="0" w:line="240" w:lineRule="auto"/>
        <w:rPr>
          <w:rFonts w:hint="eastAsia" w:eastAsia="仿宋"/>
          <w:sz w:val="24"/>
          <w:lang w:val="en-US" w:eastAsia="zh-CN"/>
        </w:rPr>
      </w:pPr>
      <w:r>
        <w:rPr>
          <w:rFonts w:eastAsia="仿宋"/>
          <w:sz w:val="24"/>
          <w:lang w:val="mn-MN"/>
        </w:rPr>
        <w:t>8.1</w:t>
      </w:r>
      <w:r>
        <w:rPr>
          <w:rFonts w:eastAsia="仿宋"/>
          <w:sz w:val="24"/>
          <w:highlight w:val="none"/>
          <w:lang w:val="mn-MN"/>
        </w:rPr>
        <w:t xml:space="preserve"> </w:t>
      </w:r>
      <w:r>
        <w:rPr>
          <w:rFonts w:hint="default" w:ascii="Arial" w:hAnsi="Arial" w:eastAsia="仿宋" w:cs="Arial"/>
          <w:sz w:val="24"/>
          <w:szCs w:val="24"/>
          <w:highlight w:val="none"/>
          <w:lang w:val="mn-MN"/>
        </w:rPr>
        <w:t>Тендерийн баримт бичиг болон тендертэй холбоотой бүх баримт бичгийг монгол хэл эсвэл хятад хэлээр үйлдэж болно.</w:t>
      </w:r>
    </w:p>
    <w:p w14:paraId="64C12282">
      <w:pPr>
        <w:spacing w:after="0" w:line="240" w:lineRule="auto"/>
        <w:rPr>
          <w:rFonts w:eastAsia="仿宋"/>
          <w:sz w:val="24"/>
          <w:lang w:val="mn-MN"/>
        </w:rPr>
      </w:pPr>
      <w:r>
        <w:rPr>
          <w:rFonts w:eastAsia="仿宋"/>
          <w:sz w:val="24"/>
          <w:lang w:val="mn-MN"/>
        </w:rPr>
        <w:t xml:space="preserve">8.2 Тендерийн баримт бичгийн бүх хэмжих нэгж нь тендерийн баримт бичгийн шаардлагын дагуу байна.                                                                                                                                                                                                                                                                                                                                                                                                                                                                                                                                                                                                                                                                                                                                                                                                                                                                                                                                                                                                                                                                                                                                                                                                                     </w:t>
      </w:r>
    </w:p>
    <w:p w14:paraId="53EFD93B">
      <w:pPr>
        <w:spacing w:after="0" w:line="240" w:lineRule="auto"/>
        <w:rPr>
          <w:rFonts w:eastAsia="仿宋"/>
          <w:sz w:val="24"/>
          <w:lang w:val="mn-MN"/>
        </w:rPr>
      </w:pPr>
      <w:r>
        <w:rPr>
          <w:rFonts w:eastAsia="仿宋"/>
          <w:sz w:val="24"/>
          <w:lang w:val="mn-MN"/>
        </w:rPr>
        <w:t xml:space="preserve"> </w:t>
      </w:r>
    </w:p>
    <w:p w14:paraId="090FC541">
      <w:pPr>
        <w:spacing w:after="0" w:line="240" w:lineRule="auto"/>
        <w:rPr>
          <w:rFonts w:eastAsia="仿宋"/>
          <w:b/>
          <w:sz w:val="24"/>
          <w:lang w:val="mn-MN"/>
        </w:rPr>
      </w:pPr>
      <w:r>
        <w:rPr>
          <w:rFonts w:eastAsia="仿宋"/>
          <w:b/>
          <w:sz w:val="24"/>
          <w:lang w:val="mn-MN"/>
        </w:rPr>
        <w:t>9. Тендерийн баримт бичгийн бүтэц</w:t>
      </w:r>
    </w:p>
    <w:p w14:paraId="0C513721">
      <w:pPr>
        <w:spacing w:after="0" w:line="240" w:lineRule="auto"/>
        <w:rPr>
          <w:rFonts w:eastAsia="仿宋"/>
          <w:sz w:val="24"/>
          <w:lang w:val="mn-MN"/>
        </w:rPr>
      </w:pPr>
      <w:r>
        <w:rPr>
          <w:rFonts w:eastAsia="仿宋"/>
          <w:sz w:val="24"/>
          <w:lang w:val="mn-MN"/>
        </w:rPr>
        <w:t>9.1 Тендерийн баримт бичиг нь үнийн хэсэг болон арилжааны хэсэг гэсэн хоёр хэсгээс бүрдэнэ.</w:t>
      </w:r>
    </w:p>
    <w:p w14:paraId="4D412A05">
      <w:pPr>
        <w:spacing w:after="0" w:line="240" w:lineRule="auto"/>
        <w:rPr>
          <w:rFonts w:eastAsia="仿宋"/>
          <w:sz w:val="24"/>
          <w:lang w:val="mn-MN"/>
        </w:rPr>
      </w:pPr>
    </w:p>
    <w:p w14:paraId="527D29B5">
      <w:pPr>
        <w:spacing w:after="0" w:line="240" w:lineRule="auto"/>
        <w:rPr>
          <w:rFonts w:eastAsia="仿宋"/>
          <w:b/>
          <w:sz w:val="24"/>
          <w:lang w:val="mn-MN"/>
        </w:rPr>
      </w:pPr>
      <w:r>
        <w:rPr>
          <w:rFonts w:eastAsia="仿宋"/>
          <w:b/>
          <w:sz w:val="24"/>
          <w:lang w:val="mn-MN"/>
        </w:rPr>
        <w:t xml:space="preserve">10. Тендерийн баримт бичгийн загвар </w:t>
      </w:r>
    </w:p>
    <w:p w14:paraId="400A195B">
      <w:pPr>
        <w:spacing w:after="0" w:line="240" w:lineRule="auto"/>
        <w:ind w:firstLine="420"/>
        <w:rPr>
          <w:rFonts w:eastAsia="仿宋"/>
          <w:sz w:val="24"/>
        </w:rPr>
      </w:pPr>
      <w:r>
        <w:rPr>
          <w:rFonts w:eastAsia="仿宋"/>
          <w:sz w:val="24"/>
          <w:lang w:val="mn-MN"/>
        </w:rPr>
        <w:t xml:space="preserve">Тендерийн баримт бичигт тухайн тендерийн баримт бичгийн агуулга багтсан байх ба тендерт оролцогчийн бүх баримт бичиг нь тендерийн баримт бичгийн загварыг хангасан байна </w:t>
      </w:r>
      <w:r>
        <w:rPr>
          <w:rFonts w:eastAsia="仿宋"/>
          <w:sz w:val="24"/>
        </w:rPr>
        <w:t>(</w:t>
      </w:r>
      <w:r>
        <w:rPr>
          <w:rFonts w:eastAsia="仿宋"/>
          <w:sz w:val="24"/>
          <w:lang w:val="mn-MN"/>
        </w:rPr>
        <w:t>Хүснэгтийг ижил загвараар сунгаж болно. Баримт бигийн загвар өгөөгүй бол тендерийн баримт бичгийн хэлбэрээр хийнэ.</w:t>
      </w:r>
    </w:p>
    <w:p w14:paraId="5FF725A2">
      <w:pPr>
        <w:spacing w:after="0" w:line="240" w:lineRule="auto"/>
        <w:ind w:firstLine="420"/>
        <w:rPr>
          <w:rFonts w:eastAsia="仿宋"/>
          <w:sz w:val="24"/>
        </w:rPr>
      </w:pPr>
    </w:p>
    <w:p w14:paraId="7FDFC863">
      <w:pPr>
        <w:spacing w:after="0" w:line="240" w:lineRule="auto"/>
        <w:rPr>
          <w:rFonts w:eastAsia="仿宋"/>
          <w:b/>
          <w:sz w:val="24"/>
        </w:rPr>
      </w:pPr>
      <w:r>
        <w:rPr>
          <w:rFonts w:eastAsia="仿宋"/>
          <w:b/>
          <w:sz w:val="24"/>
          <w:lang w:val="mn-MN"/>
        </w:rPr>
        <w:t>11. Тендерийн үнийн санал</w:t>
      </w:r>
    </w:p>
    <w:p w14:paraId="7BC91B2A">
      <w:pPr>
        <w:spacing w:after="0" w:line="240" w:lineRule="auto"/>
        <w:rPr>
          <w:rFonts w:eastAsia="仿宋"/>
          <w:sz w:val="24"/>
          <w:lang w:val="mn-MN"/>
        </w:rPr>
      </w:pPr>
      <w:r>
        <w:rPr>
          <w:rFonts w:eastAsia="仿宋"/>
          <w:sz w:val="24"/>
          <w:lang w:val="mn-MN"/>
        </w:rPr>
        <w:t xml:space="preserve">11.1 Тендерийн үнийн санал нь тогтсон нэгж үнийн хэлбэртэй байна. Тендерт оролцогч нь тендерийн баримт бичиг болон тодруулах асуулт хариулт, засварласан, нөхсөн зэрэг баримт бичгийг сайтар уншиж судлан өөрсдийн байгуулгын удирдлагын түвшинд үнийн саналаа гаргана. </w:t>
      </w:r>
    </w:p>
    <w:p w14:paraId="75AED876">
      <w:pPr>
        <w:spacing w:after="0" w:line="240" w:lineRule="auto"/>
        <w:rPr>
          <w:rFonts w:eastAsia="仿宋"/>
          <w:sz w:val="24"/>
          <w:lang w:val="mn-MN"/>
        </w:rPr>
      </w:pPr>
      <w:r>
        <w:rPr>
          <w:rFonts w:eastAsia="仿宋"/>
          <w:sz w:val="24"/>
          <w:lang w:val="mn-MN"/>
        </w:rPr>
        <w:t>11.2 Тендерийн баримт бичгийг бэлдэх</w:t>
      </w:r>
    </w:p>
    <w:p w14:paraId="70134BE6">
      <w:pPr>
        <w:spacing w:after="0" w:line="240" w:lineRule="auto"/>
        <w:rPr>
          <w:rFonts w:eastAsia="仿宋"/>
          <w:sz w:val="24"/>
          <w:lang w:val="mn-MN"/>
        </w:rPr>
      </w:pPr>
      <w:r>
        <w:rPr>
          <w:rFonts w:eastAsia="仿宋"/>
          <w:sz w:val="24"/>
          <w:lang w:val="mn-MN"/>
        </w:rPr>
        <w:t>11.2.1 Үнийн саналыг тендер зарлагчийн өгсөн тендерийн баримт бичгийн дагуу бэлдэх ёстой. Хавсралт хүснэгт 1-4 /</w:t>
      </w:r>
    </w:p>
    <w:p w14:paraId="280D2855">
      <w:pPr>
        <w:spacing w:after="0" w:line="240" w:lineRule="auto"/>
        <w:rPr>
          <w:rFonts w:eastAsia="仿宋"/>
          <w:sz w:val="24"/>
          <w:lang w:val="mn-MN"/>
        </w:rPr>
      </w:pPr>
      <w:r>
        <w:rPr>
          <w:rFonts w:eastAsia="仿宋"/>
          <w:sz w:val="24"/>
          <w:lang w:val="mn-MN"/>
        </w:rPr>
        <w:t>11.2.2 Тендерт оролцогчийн үнийн санал нь тендерт оролцох зааврын 3 дугаар зүйлд заасан бүх агуулгыг бүрэн хангасан байх бөгөөд ямар нэгэн шалтгаанаар дахин давтагдах ёсгүй.</w:t>
      </w:r>
    </w:p>
    <w:p w14:paraId="546083EA">
      <w:pPr>
        <w:spacing w:after="0" w:line="240" w:lineRule="auto"/>
        <w:rPr>
          <w:rFonts w:eastAsia="仿宋"/>
          <w:sz w:val="24"/>
          <w:lang w:val="mn-MN"/>
        </w:rPr>
      </w:pPr>
      <w:r>
        <w:rPr>
          <w:rFonts w:eastAsia="仿宋"/>
          <w:sz w:val="24"/>
          <w:lang w:val="mn-MN"/>
        </w:rPr>
        <w:t>11.2.3 Тендер зарлагч нь тендерийн баримт бичигт өөрчлөлт оруулаагүй тохиолдолд тухайн тендерт оролцогч тендер зарлагчаас ирүүлсэн агуулгын дагуу нэгж үнийг бөглөх бөгөөд аливаа сонголттой үнийн саналыг хүлээн авахгүй.</w:t>
      </w:r>
    </w:p>
    <w:p w14:paraId="5AC42221">
      <w:pPr>
        <w:spacing w:after="0" w:line="240" w:lineRule="auto"/>
        <w:rPr>
          <w:rFonts w:eastAsia="仿宋"/>
          <w:sz w:val="24"/>
          <w:lang w:val="mn-MN"/>
        </w:rPr>
      </w:pPr>
    </w:p>
    <w:p w14:paraId="3021A8D0">
      <w:pPr>
        <w:spacing w:after="0" w:line="240" w:lineRule="auto"/>
        <w:rPr>
          <w:rFonts w:eastAsia="仿宋"/>
          <w:b/>
          <w:sz w:val="24"/>
          <w:lang w:val="mn-MN"/>
        </w:rPr>
      </w:pPr>
      <w:r>
        <w:rPr>
          <w:rFonts w:eastAsia="仿宋"/>
          <w:b/>
          <w:sz w:val="24"/>
          <w:lang w:val="mn-MN"/>
        </w:rPr>
        <w:t xml:space="preserve">12. Тендерийн мөнгөн тэмдэгт </w:t>
      </w:r>
    </w:p>
    <w:p w14:paraId="4BE03DDD">
      <w:pPr>
        <w:spacing w:after="0" w:line="240" w:lineRule="auto"/>
        <w:rPr>
          <w:rFonts w:hint="default" w:ascii="Times New Roman" w:hAnsi="Times New Roman" w:eastAsia="仿宋" w:cs="Times New Roman"/>
          <w:sz w:val="24"/>
          <w:highlight w:val="none"/>
          <w:lang w:val="mn-MN"/>
        </w:rPr>
      </w:pPr>
      <w:r>
        <w:rPr>
          <w:rFonts w:eastAsia="仿宋"/>
          <w:sz w:val="24"/>
          <w:highlight w:val="none"/>
          <w:lang w:val="mn-MN"/>
        </w:rPr>
        <w:t xml:space="preserve">Тендерийн үнийн саналын мөнгөн тэмдэгт нь Америк доллар байна. </w:t>
      </w:r>
      <w:r>
        <w:rPr>
          <w:rFonts w:hint="default" w:ascii="Times New Roman" w:hAnsi="Times New Roman" w:eastAsia="仿宋" w:cs="Times New Roman"/>
          <w:sz w:val="24"/>
          <w:highlight w:val="none"/>
          <w:lang w:val="mn-MN"/>
        </w:rPr>
        <w:t>Тайлбар: Төлбөр тооцоог юань эсвэл төгрөгөөр хийнэ.</w:t>
      </w:r>
    </w:p>
    <w:p w14:paraId="0ABBE047">
      <w:pPr>
        <w:spacing w:after="0" w:line="240" w:lineRule="auto"/>
        <w:rPr>
          <w:rFonts w:eastAsia="仿宋"/>
          <w:sz w:val="24"/>
          <w:highlight w:val="yellow"/>
          <w:lang w:val="mn-MN"/>
        </w:rPr>
      </w:pPr>
    </w:p>
    <w:p w14:paraId="2FBE45D6">
      <w:pPr>
        <w:spacing w:after="0" w:line="240" w:lineRule="auto"/>
        <w:rPr>
          <w:rFonts w:eastAsia="仿宋"/>
          <w:b/>
          <w:sz w:val="24"/>
          <w:lang w:val="mn-MN"/>
        </w:rPr>
      </w:pPr>
      <w:r>
        <w:rPr>
          <w:rFonts w:eastAsia="仿宋"/>
          <w:b/>
          <w:sz w:val="24"/>
          <w:lang w:val="mn-MN"/>
        </w:rPr>
        <w:t>13. Тендерийн хүчинтэй хугацаа</w:t>
      </w:r>
    </w:p>
    <w:p w14:paraId="00F9D7D8">
      <w:pPr>
        <w:spacing w:after="0" w:line="240" w:lineRule="auto"/>
        <w:rPr>
          <w:rFonts w:eastAsia="仿宋"/>
          <w:sz w:val="24"/>
          <w:lang w:val="mn-MN"/>
        </w:rPr>
      </w:pPr>
      <w:r>
        <w:rPr>
          <w:rFonts w:eastAsia="仿宋"/>
          <w:sz w:val="24"/>
          <w:lang w:val="mn-MN"/>
        </w:rPr>
        <w:t xml:space="preserve">13.1 Тендерийн хүчинтэй хугацаа нь тендер нээснээс эхлэн 30 хоног байна. Тухайн хугацаанд тус тендерийн шаардлага хангасан тендерийн баримт бичиг хүчинтэй хэвээр байна. </w:t>
      </w:r>
    </w:p>
    <w:p w14:paraId="77E62ACD">
      <w:pPr>
        <w:spacing w:after="0" w:line="240" w:lineRule="auto"/>
        <w:rPr>
          <w:rFonts w:eastAsia="仿宋"/>
          <w:sz w:val="24"/>
          <w:lang w:val="mn-MN"/>
        </w:rPr>
      </w:pPr>
      <w:r>
        <w:rPr>
          <w:rFonts w:eastAsia="仿宋"/>
          <w:sz w:val="24"/>
          <w:lang w:val="mn-MN"/>
        </w:rPr>
        <w:t xml:space="preserve">13.2 Онцгой тохиолдолд тендер зарлагч нь тендерийн хүчинтэй хугацаанд тендерт оролцогчид хандан тендерийн хүчинтэй хугацааг сунгах шаардлагыг бичгээр гаргаж болно. Тендерт оролцогч тухайн шаардлагад бичгээр хариу өгнө эсвэл татгалзаж болно. </w:t>
      </w:r>
    </w:p>
    <w:p w14:paraId="56BB7CCC">
      <w:pPr>
        <w:spacing w:after="0" w:line="240" w:lineRule="auto"/>
        <w:rPr>
          <w:rFonts w:eastAsia="仿宋"/>
          <w:sz w:val="24"/>
          <w:lang w:val="mn-MN"/>
        </w:rPr>
      </w:pPr>
      <w:r>
        <w:rPr>
          <w:rFonts w:eastAsia="仿宋"/>
          <w:sz w:val="24"/>
          <w:lang w:val="mn-MN"/>
        </w:rPr>
        <w:t xml:space="preserve">Тендерийн хүчинтэй хугацааг сунгахыг зөвшөөрсөн ч тендерийн баримт бичгийг өөрчилж болохгүй. </w:t>
      </w:r>
    </w:p>
    <w:p w14:paraId="0C02CF17">
      <w:pPr>
        <w:spacing w:after="0" w:line="240" w:lineRule="auto"/>
        <w:rPr>
          <w:rFonts w:eastAsia="仿宋"/>
          <w:sz w:val="24"/>
          <w:lang w:val="mn-MN"/>
        </w:rPr>
      </w:pPr>
      <w:r>
        <w:rPr>
          <w:rFonts w:eastAsia="仿宋"/>
          <w:sz w:val="24"/>
          <w:lang w:val="mn-MN"/>
        </w:rPr>
        <w:t>14.</w:t>
      </w:r>
      <w:r>
        <w:rPr>
          <w:rFonts w:eastAsia="仿宋"/>
          <w:b/>
          <w:sz w:val="24"/>
          <w:lang w:val="mn-MN"/>
        </w:rPr>
        <w:t xml:space="preserve"> Үнийн санал сонгох</w:t>
      </w:r>
    </w:p>
    <w:p w14:paraId="09EB36E6">
      <w:pPr>
        <w:spacing w:after="0" w:line="240" w:lineRule="auto"/>
        <w:rPr>
          <w:rFonts w:eastAsia="仿宋"/>
          <w:sz w:val="24"/>
          <w:lang w:val="mn-MN"/>
        </w:rPr>
      </w:pPr>
      <w:r>
        <w:rPr>
          <w:rFonts w:eastAsia="仿宋"/>
          <w:sz w:val="24"/>
          <w:lang w:val="mn-MN"/>
        </w:rPr>
        <w:t xml:space="preserve">Тендерт оролцогч нь тендерийн баримт бичгийн шаардлагын дагуу тендерийн баримт бичгийг бэлдэнэ. Төлөөлөн төлөвлөсөн болон сонголттой үнийн саналыг хүлээн авахгүй. Тендерт оролцогч нь тендерийн баримт бичгийн шаардлага хангаагүй бичиг баримтаас татгалзах заалтыг анхаарч харах хэрэгтэй. </w:t>
      </w:r>
    </w:p>
    <w:p w14:paraId="14B656E6">
      <w:pPr>
        <w:spacing w:after="0" w:line="240" w:lineRule="auto"/>
        <w:rPr>
          <w:rFonts w:eastAsia="仿宋"/>
          <w:sz w:val="24"/>
          <w:lang w:val="mn-MN"/>
        </w:rPr>
      </w:pPr>
    </w:p>
    <w:p w14:paraId="5379925A">
      <w:pPr>
        <w:spacing w:after="0" w:line="240" w:lineRule="auto"/>
        <w:rPr>
          <w:rFonts w:eastAsia="仿宋"/>
          <w:b/>
          <w:sz w:val="24"/>
          <w:lang w:val="mn-MN"/>
        </w:rPr>
      </w:pPr>
      <w:r>
        <w:rPr>
          <w:rFonts w:eastAsia="仿宋"/>
          <w:b/>
          <w:sz w:val="24"/>
          <w:lang w:val="mn-MN"/>
        </w:rPr>
        <w:t>15. Тендерийн баримт бичгийн хувь хэмжээ болон гарын үсэг</w:t>
      </w:r>
    </w:p>
    <w:p w14:paraId="68182564">
      <w:pPr>
        <w:spacing w:after="0" w:line="240" w:lineRule="auto"/>
        <w:rPr>
          <w:rFonts w:eastAsia="仿宋"/>
          <w:sz w:val="24"/>
          <w:lang w:val="mn-MN"/>
        </w:rPr>
      </w:pPr>
      <w:r>
        <w:rPr>
          <w:rFonts w:eastAsia="仿宋"/>
          <w:sz w:val="24"/>
          <w:lang w:val="mn-MN"/>
        </w:rPr>
        <w:t xml:space="preserve">15.1 Тендерт оролцогч нь тендерийн материалыг PDF-ээр хийж тамга даран, файлаар 1%-ийг илгээх ба нууцлалтай байна. </w:t>
      </w:r>
    </w:p>
    <w:p w14:paraId="4FDE86B2">
      <w:pPr>
        <w:spacing w:after="0" w:line="240" w:lineRule="auto"/>
        <w:rPr>
          <w:rFonts w:eastAsia="仿宋"/>
          <w:sz w:val="24"/>
          <w:lang w:val="mn-MN"/>
        </w:rPr>
      </w:pPr>
      <w:r>
        <w:rPr>
          <w:rFonts w:eastAsia="仿宋"/>
          <w:sz w:val="24"/>
          <w:lang w:val="mn-MN"/>
        </w:rPr>
        <w:t xml:space="preserve">15.2 Тендерийн баримт бичгийн хавтас, тендерийн урилга болон хавсралт, үнийн санал дээр тендерт оролцогч хуулийн этгээд эсвэл итгэмжлэгдсэн төлөөлөгч гарын үсэг зурж тамга дарсан байна. Хэрэв итгэмжлэгдсэн төлөөлөгч гарын үсэг зурж тамга дарсан бол хуулийн этгээдийн гарын үсэгтэй итгэмжлэх бичгийг мөн ирүүлнэ. Тендерт ирүүлсэн итгэмжлэх бичгийн загвар, гарын үсэг, тамга болон агуулга шаардлагад нийцэхгүй бол тухайн итгэмжлэх бичгийг хүчингүйд тооцно. Бусад хавсралт хүснэгтнэд шаардлагын дагуу гарын үсэг зурж тамга дарна. </w:t>
      </w:r>
    </w:p>
    <w:p w14:paraId="10DFCB02">
      <w:pPr>
        <w:spacing w:after="0" w:line="240" w:lineRule="auto"/>
        <w:rPr>
          <w:rFonts w:eastAsia="仿宋"/>
          <w:sz w:val="24"/>
          <w:lang w:val="mn-MN"/>
        </w:rPr>
      </w:pPr>
      <w:r>
        <w:rPr>
          <w:rFonts w:eastAsia="仿宋"/>
          <w:sz w:val="24"/>
          <w:lang w:val="mn-MN"/>
        </w:rPr>
        <w:t xml:space="preserve">15.3 Тендерт оролцогч нь алдааг засах, тендерийн баримт бичгийг баллах эсвэл үг дутаах нэмэх зэрэг асуудал гаргахгүй байх. Хэрэв зассан тохиолдолд гарын үсэг зурж тамга даран баталгаажуулах.     </w:t>
      </w:r>
    </w:p>
    <w:p w14:paraId="542D25C7">
      <w:pPr>
        <w:spacing w:after="0" w:line="240" w:lineRule="auto"/>
        <w:rPr>
          <w:rFonts w:eastAsia="仿宋"/>
          <w:sz w:val="24"/>
          <w:lang w:val="mn-MN"/>
        </w:rPr>
      </w:pPr>
    </w:p>
    <w:p w14:paraId="3CCFBB6E">
      <w:pPr>
        <w:spacing w:after="0" w:line="240" w:lineRule="auto"/>
        <w:rPr>
          <w:rFonts w:eastAsia="仿宋"/>
          <w:sz w:val="24"/>
          <w:lang w:val="mn-MN"/>
        </w:rPr>
      </w:pPr>
    </w:p>
    <w:p w14:paraId="19945ECC">
      <w:pPr>
        <w:spacing w:after="0" w:line="240" w:lineRule="auto"/>
        <w:rPr>
          <w:rFonts w:eastAsia="仿宋"/>
          <w:sz w:val="24"/>
          <w:lang w:val="mn-MN"/>
        </w:rPr>
      </w:pPr>
    </w:p>
    <w:p w14:paraId="79C16655">
      <w:pPr>
        <w:spacing w:after="0" w:line="240" w:lineRule="auto"/>
        <w:rPr>
          <w:rFonts w:eastAsia="仿宋"/>
          <w:sz w:val="24"/>
          <w:lang w:val="mn-MN"/>
        </w:rPr>
      </w:pPr>
    </w:p>
    <w:p w14:paraId="06FB427E">
      <w:pPr>
        <w:spacing w:after="0" w:line="240" w:lineRule="auto"/>
        <w:rPr>
          <w:rFonts w:eastAsia="仿宋"/>
          <w:sz w:val="24"/>
          <w:lang w:val="mn-MN"/>
        </w:rPr>
      </w:pPr>
    </w:p>
    <w:p w14:paraId="4B785A76">
      <w:pPr>
        <w:spacing w:after="0" w:line="240" w:lineRule="auto"/>
        <w:rPr>
          <w:rFonts w:eastAsia="仿宋"/>
          <w:sz w:val="24"/>
          <w:lang w:val="mn-MN"/>
        </w:rPr>
      </w:pPr>
    </w:p>
    <w:p w14:paraId="7E9281FE">
      <w:pPr>
        <w:spacing w:after="0" w:line="240" w:lineRule="auto"/>
        <w:rPr>
          <w:rFonts w:eastAsia="仿宋"/>
          <w:sz w:val="24"/>
          <w:lang w:val="mn-MN"/>
        </w:rPr>
      </w:pPr>
    </w:p>
    <w:p w14:paraId="0A14CDC6">
      <w:pPr>
        <w:spacing w:after="0" w:line="240" w:lineRule="auto"/>
        <w:rPr>
          <w:rFonts w:eastAsia="仿宋"/>
          <w:sz w:val="24"/>
          <w:lang w:val="mn-MN"/>
        </w:rPr>
      </w:pPr>
    </w:p>
    <w:p w14:paraId="62BB74AE">
      <w:pPr>
        <w:spacing w:after="0" w:line="240" w:lineRule="auto"/>
        <w:rPr>
          <w:rFonts w:eastAsia="仿宋"/>
          <w:sz w:val="24"/>
          <w:lang w:val="mn-MN"/>
        </w:rPr>
      </w:pPr>
    </w:p>
    <w:p w14:paraId="440A6E5D">
      <w:pPr>
        <w:spacing w:after="0" w:line="240" w:lineRule="auto"/>
        <w:rPr>
          <w:rFonts w:eastAsia="仿宋"/>
          <w:sz w:val="24"/>
          <w:lang w:val="mn-MN"/>
        </w:rPr>
      </w:pPr>
    </w:p>
    <w:p w14:paraId="0ED9B141">
      <w:pPr>
        <w:spacing w:after="0" w:line="240" w:lineRule="auto"/>
        <w:rPr>
          <w:rFonts w:eastAsia="仿宋"/>
          <w:sz w:val="24"/>
          <w:lang w:val="mn-MN"/>
        </w:rPr>
      </w:pPr>
    </w:p>
    <w:p w14:paraId="69CF5CD9">
      <w:pPr>
        <w:spacing w:after="0" w:line="240" w:lineRule="auto"/>
        <w:rPr>
          <w:rFonts w:eastAsia="仿宋"/>
          <w:sz w:val="24"/>
          <w:lang w:val="mn-MN"/>
        </w:rPr>
      </w:pPr>
    </w:p>
    <w:p w14:paraId="542EDB0D">
      <w:pPr>
        <w:spacing w:after="0" w:line="240" w:lineRule="auto"/>
        <w:rPr>
          <w:rFonts w:eastAsia="仿宋"/>
          <w:sz w:val="24"/>
          <w:lang w:val="mn-MN"/>
        </w:rPr>
      </w:pPr>
    </w:p>
    <w:p w14:paraId="7D56D511">
      <w:pPr>
        <w:spacing w:after="0" w:line="240" w:lineRule="auto"/>
        <w:rPr>
          <w:rFonts w:eastAsia="仿宋"/>
          <w:sz w:val="24"/>
          <w:lang w:val="mn-MN"/>
        </w:rPr>
      </w:pPr>
    </w:p>
    <w:p w14:paraId="7168589A">
      <w:pPr>
        <w:spacing w:after="0" w:line="240" w:lineRule="auto"/>
        <w:rPr>
          <w:rFonts w:eastAsia="仿宋"/>
          <w:sz w:val="24"/>
          <w:lang w:val="mn-MN"/>
        </w:rPr>
      </w:pPr>
    </w:p>
    <w:p w14:paraId="62998466">
      <w:pPr>
        <w:spacing w:after="0" w:line="240" w:lineRule="auto"/>
        <w:rPr>
          <w:rFonts w:eastAsia="仿宋"/>
          <w:sz w:val="24"/>
          <w:lang w:val="mn-MN"/>
        </w:rPr>
      </w:pPr>
    </w:p>
    <w:p w14:paraId="2E606CFF">
      <w:pPr>
        <w:spacing w:after="0" w:line="240" w:lineRule="auto"/>
        <w:rPr>
          <w:rFonts w:eastAsia="仿宋"/>
          <w:sz w:val="24"/>
          <w:lang w:val="mn-MN"/>
        </w:rPr>
      </w:pPr>
    </w:p>
    <w:p w14:paraId="6D1E8AF7">
      <w:pPr>
        <w:spacing w:after="0" w:line="240" w:lineRule="auto"/>
        <w:rPr>
          <w:rFonts w:eastAsia="仿宋"/>
          <w:sz w:val="24"/>
          <w:lang w:val="mn-MN"/>
        </w:rPr>
      </w:pPr>
    </w:p>
    <w:p w14:paraId="09B8F3EB">
      <w:pPr>
        <w:spacing w:after="0" w:line="240" w:lineRule="auto"/>
        <w:rPr>
          <w:rFonts w:eastAsia="仿宋"/>
          <w:sz w:val="24"/>
          <w:lang w:val="mn-MN"/>
        </w:rPr>
      </w:pPr>
    </w:p>
    <w:p w14:paraId="27370085">
      <w:pPr>
        <w:spacing w:after="0" w:line="240" w:lineRule="auto"/>
        <w:rPr>
          <w:rFonts w:eastAsia="仿宋"/>
          <w:sz w:val="24"/>
          <w:lang w:val="mn-MN"/>
        </w:rPr>
      </w:pPr>
    </w:p>
    <w:p w14:paraId="467A8949">
      <w:pPr>
        <w:spacing w:after="0" w:line="240" w:lineRule="auto"/>
        <w:rPr>
          <w:rFonts w:eastAsia="仿宋"/>
          <w:sz w:val="24"/>
          <w:lang w:val="mn-MN"/>
        </w:rPr>
      </w:pPr>
    </w:p>
    <w:p w14:paraId="70BA6978">
      <w:pPr>
        <w:spacing w:after="0" w:line="240" w:lineRule="auto"/>
        <w:rPr>
          <w:rFonts w:eastAsia="仿宋"/>
          <w:sz w:val="24"/>
          <w:lang w:val="mn-MN"/>
        </w:rPr>
      </w:pPr>
    </w:p>
    <w:p w14:paraId="29463EA5">
      <w:pPr>
        <w:spacing w:after="0" w:line="240" w:lineRule="auto"/>
        <w:rPr>
          <w:rFonts w:eastAsia="仿宋"/>
          <w:sz w:val="24"/>
          <w:lang w:val="mn-MN"/>
        </w:rPr>
      </w:pPr>
    </w:p>
    <w:p w14:paraId="1414F0F2">
      <w:pPr>
        <w:spacing w:after="0" w:line="240" w:lineRule="auto"/>
        <w:rPr>
          <w:rFonts w:eastAsia="仿宋"/>
          <w:sz w:val="24"/>
          <w:lang w:val="mn-MN"/>
        </w:rPr>
      </w:pPr>
    </w:p>
    <w:p w14:paraId="4F70922F">
      <w:pPr>
        <w:spacing w:after="0" w:line="240" w:lineRule="auto"/>
        <w:rPr>
          <w:rFonts w:eastAsia="仿宋"/>
          <w:sz w:val="24"/>
          <w:lang w:val="mn-MN"/>
        </w:rPr>
      </w:pPr>
    </w:p>
    <w:p w14:paraId="00D3270F">
      <w:pPr>
        <w:spacing w:after="0" w:line="240" w:lineRule="auto"/>
        <w:rPr>
          <w:rFonts w:eastAsia="仿宋"/>
          <w:sz w:val="24"/>
          <w:lang w:val="mn-MN"/>
        </w:rPr>
      </w:pPr>
    </w:p>
    <w:p w14:paraId="1D86F313">
      <w:pPr>
        <w:spacing w:after="0" w:line="240" w:lineRule="auto"/>
        <w:rPr>
          <w:rFonts w:eastAsia="仿宋"/>
          <w:sz w:val="24"/>
          <w:lang w:val="mn-MN"/>
        </w:rPr>
      </w:pPr>
    </w:p>
    <w:p w14:paraId="3932FE62">
      <w:pPr>
        <w:spacing w:after="0" w:line="240" w:lineRule="auto"/>
        <w:rPr>
          <w:rFonts w:eastAsia="仿宋"/>
          <w:sz w:val="24"/>
          <w:lang w:val="mn-MN"/>
        </w:rPr>
      </w:pPr>
    </w:p>
    <w:p w14:paraId="734A6882">
      <w:pPr>
        <w:spacing w:after="0" w:line="240" w:lineRule="auto"/>
        <w:jc w:val="center"/>
        <w:rPr>
          <w:rFonts w:eastAsia="仿宋"/>
          <w:b/>
          <w:sz w:val="32"/>
          <w:lang w:val="mn-MN"/>
        </w:rPr>
      </w:pPr>
      <w:r>
        <w:rPr>
          <w:rFonts w:eastAsia="仿宋"/>
          <w:b/>
          <w:sz w:val="32"/>
          <w:lang w:val="mn-MN"/>
        </w:rPr>
        <w:t>（Дөрөв ）Тендерийн баримт бичгийг хүргүүлэх</w:t>
      </w:r>
    </w:p>
    <w:p w14:paraId="2BCCA292">
      <w:pPr>
        <w:spacing w:after="0" w:line="240" w:lineRule="auto"/>
        <w:jc w:val="center"/>
        <w:rPr>
          <w:rFonts w:eastAsia="仿宋"/>
          <w:b/>
          <w:sz w:val="32"/>
          <w:lang w:val="mn-MN"/>
        </w:rPr>
      </w:pPr>
    </w:p>
    <w:p w14:paraId="5257380B">
      <w:pPr>
        <w:spacing w:after="0" w:line="240" w:lineRule="auto"/>
        <w:rPr>
          <w:rFonts w:eastAsia="仿宋"/>
          <w:b/>
          <w:sz w:val="24"/>
          <w:lang w:val="mn-MN"/>
        </w:rPr>
      </w:pPr>
      <w:r>
        <w:rPr>
          <w:rFonts w:eastAsia="仿宋"/>
          <w:b/>
          <w:sz w:val="24"/>
          <w:lang w:val="mn-MN"/>
        </w:rPr>
        <w:t>16. Тендерийн баримт бичгийг хүргүүлэх</w:t>
      </w:r>
    </w:p>
    <w:p w14:paraId="68872687">
      <w:pPr>
        <w:spacing w:after="0" w:line="240" w:lineRule="auto"/>
        <w:rPr>
          <w:rFonts w:hint="default" w:ascii="Times New Roman" w:hAnsi="Times New Roman" w:eastAsia="仿宋" w:cs="Times New Roman"/>
          <w:sz w:val="24"/>
        </w:rPr>
      </w:pPr>
      <w:r>
        <w:rPr>
          <w:rFonts w:eastAsia="仿宋"/>
          <w:sz w:val="24"/>
          <w:lang w:val="mn-MN"/>
        </w:rPr>
        <w:t>Тендерт оро</w:t>
      </w:r>
      <w:r>
        <w:rPr>
          <w:rFonts w:eastAsia="仿宋"/>
          <w:sz w:val="24"/>
          <w:highlight w:val="none"/>
          <w:lang w:val="mn-MN"/>
        </w:rPr>
        <w:t>лцогч нь 202</w:t>
      </w:r>
      <w:r>
        <w:rPr>
          <w:rFonts w:hint="eastAsia" w:eastAsia="仿宋"/>
          <w:sz w:val="24"/>
          <w:highlight w:val="none"/>
          <w:lang w:val="en-US" w:eastAsia="zh-CN"/>
        </w:rPr>
        <w:t>6</w:t>
      </w:r>
      <w:r>
        <w:rPr>
          <w:rFonts w:eastAsia="仿宋"/>
          <w:sz w:val="24"/>
          <w:highlight w:val="none"/>
          <w:lang w:val="mn-MN"/>
        </w:rPr>
        <w:t xml:space="preserve"> оны </w:t>
      </w:r>
      <w:r>
        <w:rPr>
          <w:rFonts w:hint="eastAsia" w:eastAsia="仿宋"/>
          <w:sz w:val="24"/>
          <w:highlight w:val="none"/>
          <w:lang w:val="en-US" w:eastAsia="zh-CN"/>
        </w:rPr>
        <w:t>02</w:t>
      </w:r>
      <w:r>
        <w:rPr>
          <w:rFonts w:eastAsia="仿宋"/>
          <w:sz w:val="24"/>
          <w:highlight w:val="none"/>
          <w:lang w:val="mn-MN"/>
        </w:rPr>
        <w:t xml:space="preserve">сарын </w:t>
      </w:r>
      <w:r>
        <w:rPr>
          <w:rFonts w:hint="eastAsia" w:eastAsia="仿宋"/>
          <w:sz w:val="24"/>
          <w:highlight w:val="none"/>
          <w:lang w:val="en-US" w:eastAsia="zh-CN"/>
        </w:rPr>
        <w:t>22</w:t>
      </w:r>
      <w:r>
        <w:rPr>
          <w:rFonts w:eastAsia="仿宋"/>
          <w:sz w:val="24"/>
          <w:highlight w:val="none"/>
          <w:lang w:val="mn-MN"/>
        </w:rPr>
        <w:t xml:space="preserve">-ны </w:t>
      </w:r>
      <w:r>
        <w:rPr>
          <w:rFonts w:hint="eastAsia" w:eastAsia="仿宋"/>
          <w:sz w:val="24"/>
          <w:highlight w:val="none"/>
          <w:lang w:val="en-US" w:eastAsia="zh-CN"/>
        </w:rPr>
        <w:t>17:00</w:t>
      </w:r>
      <w:r>
        <w:rPr>
          <w:rFonts w:eastAsia="仿宋"/>
          <w:sz w:val="24"/>
          <w:highlight w:val="none"/>
          <w:lang w:val="mn-MN"/>
        </w:rPr>
        <w:t xml:space="preserve"> цагаас өмнө цахимаар тендерийн материалыг илгээнэ. Тендер хүргүүлэх цахим хаяг: </w:t>
      </w:r>
      <w:r>
        <w:rPr>
          <w:rFonts w:hint="default" w:ascii="Times New Roman" w:hAnsi="Times New Roman" w:cs="Times New Roman"/>
          <w:color w:val="auto"/>
          <w:sz w:val="20"/>
          <w:szCs w:val="22"/>
          <w:highlight w:val="none"/>
        </w:rPr>
        <w:fldChar w:fldCharType="begin"/>
      </w:r>
      <w:r>
        <w:rPr>
          <w:rFonts w:hint="default" w:ascii="Times New Roman" w:hAnsi="Times New Roman" w:cs="Times New Roman"/>
          <w:color w:val="auto"/>
          <w:sz w:val="20"/>
          <w:szCs w:val="22"/>
          <w:highlight w:val="none"/>
        </w:rPr>
        <w:instrText xml:space="preserve"> HYPERLINK "mailto:xxkbj@xxkbid.com" </w:instrText>
      </w:r>
      <w:r>
        <w:rPr>
          <w:rFonts w:hint="default" w:ascii="Times New Roman" w:hAnsi="Times New Roman" w:cs="Times New Roman"/>
          <w:color w:val="auto"/>
          <w:sz w:val="20"/>
          <w:szCs w:val="22"/>
          <w:highlight w:val="none"/>
        </w:rPr>
        <w:fldChar w:fldCharType="separate"/>
      </w:r>
      <w:r>
        <w:rPr>
          <w:rStyle w:val="23"/>
          <w:rFonts w:hint="default" w:ascii="Times New Roman" w:hAnsi="Times New Roman" w:eastAsia="仿宋" w:cs="Times New Roman"/>
          <w:color w:val="auto"/>
          <w:spacing w:val="-2"/>
          <w:sz w:val="24"/>
          <w:szCs w:val="24"/>
          <w:highlight w:val="none"/>
        </w:rPr>
        <w:t>xxkbj@xxkbid.com</w:t>
      </w:r>
      <w:r>
        <w:rPr>
          <w:rStyle w:val="23"/>
          <w:rFonts w:hint="default" w:ascii="Times New Roman" w:hAnsi="Times New Roman" w:eastAsia="仿宋" w:cs="Times New Roman"/>
          <w:color w:val="auto"/>
          <w:spacing w:val="-2"/>
          <w:sz w:val="24"/>
          <w:szCs w:val="24"/>
          <w:highlight w:val="none"/>
        </w:rPr>
        <w:fldChar w:fldCharType="end"/>
      </w:r>
    </w:p>
    <w:p w14:paraId="4F8BBCBA">
      <w:pPr>
        <w:spacing w:after="0" w:line="240" w:lineRule="auto"/>
        <w:rPr>
          <w:rFonts w:eastAsia="仿宋"/>
          <w:sz w:val="24"/>
          <w:lang w:val="mn-MN"/>
        </w:rPr>
      </w:pPr>
    </w:p>
    <w:p w14:paraId="45E4270A">
      <w:pPr>
        <w:spacing w:after="0" w:line="240" w:lineRule="auto"/>
        <w:rPr>
          <w:rFonts w:eastAsia="仿宋"/>
          <w:b/>
          <w:sz w:val="24"/>
          <w:highlight w:val="none"/>
          <w:lang w:val="mn-MN"/>
        </w:rPr>
      </w:pPr>
      <w:r>
        <w:rPr>
          <w:rFonts w:eastAsia="仿宋"/>
          <w:b/>
          <w:sz w:val="24"/>
          <w:lang w:val="mn-MN"/>
        </w:rPr>
        <w:t>17. Тендерийн баримт бичгийг ирүүлэх сү</w:t>
      </w:r>
      <w:r>
        <w:rPr>
          <w:rFonts w:eastAsia="仿宋"/>
          <w:b/>
          <w:sz w:val="24"/>
          <w:highlight w:val="none"/>
          <w:lang w:val="mn-MN"/>
        </w:rPr>
        <w:t>үлийн хугацаа</w:t>
      </w:r>
    </w:p>
    <w:p w14:paraId="27AD345B">
      <w:pPr>
        <w:spacing w:after="0" w:line="240" w:lineRule="auto"/>
        <w:rPr>
          <w:rFonts w:eastAsia="仿宋"/>
          <w:sz w:val="24"/>
          <w:highlight w:val="none"/>
          <w:lang w:val="mn-MN"/>
        </w:rPr>
      </w:pPr>
      <w:r>
        <w:rPr>
          <w:rFonts w:eastAsia="仿宋"/>
          <w:sz w:val="24"/>
          <w:highlight w:val="none"/>
          <w:lang w:val="mn-MN"/>
        </w:rPr>
        <w:t>17.1 Тендерийн материал ирүүлэх сүүлийн хугацаа 202</w:t>
      </w:r>
      <w:r>
        <w:rPr>
          <w:rFonts w:hint="eastAsia" w:eastAsia="仿宋"/>
          <w:sz w:val="24"/>
          <w:highlight w:val="none"/>
          <w:lang w:val="en-US" w:eastAsia="zh-CN"/>
        </w:rPr>
        <w:t>6</w:t>
      </w:r>
      <w:r>
        <w:rPr>
          <w:rFonts w:eastAsia="仿宋"/>
          <w:sz w:val="24"/>
          <w:highlight w:val="none"/>
          <w:lang w:val="mn-MN"/>
        </w:rPr>
        <w:t xml:space="preserve"> оны</w:t>
      </w:r>
      <w:r>
        <w:rPr>
          <w:rFonts w:hint="eastAsia" w:eastAsia="仿宋"/>
          <w:sz w:val="24"/>
          <w:highlight w:val="none"/>
          <w:lang w:val="en-US" w:eastAsia="zh-CN"/>
        </w:rPr>
        <w:t>02</w:t>
      </w:r>
      <w:r>
        <w:rPr>
          <w:rFonts w:eastAsia="仿宋"/>
          <w:sz w:val="24"/>
          <w:highlight w:val="none"/>
          <w:lang w:val="mn-MN"/>
        </w:rPr>
        <w:t>сарын</w:t>
      </w:r>
      <w:r>
        <w:rPr>
          <w:rFonts w:hint="eastAsia" w:eastAsia="仿宋"/>
          <w:sz w:val="24"/>
          <w:highlight w:val="none"/>
          <w:lang w:val="en-US" w:eastAsia="zh-CN"/>
        </w:rPr>
        <w:t>22</w:t>
      </w:r>
      <w:r>
        <w:rPr>
          <w:rFonts w:eastAsia="仿宋"/>
          <w:sz w:val="24"/>
          <w:highlight w:val="none"/>
          <w:lang w:val="mn-MN"/>
        </w:rPr>
        <w:t xml:space="preserve">-ны өдрийн </w:t>
      </w:r>
      <w:r>
        <w:rPr>
          <w:rFonts w:hint="eastAsia" w:eastAsia="仿宋"/>
          <w:sz w:val="24"/>
          <w:highlight w:val="none"/>
          <w:lang w:val="mn-MN"/>
        </w:rPr>
        <w:t>1</w:t>
      </w:r>
      <w:r>
        <w:rPr>
          <w:rFonts w:hint="eastAsia" w:eastAsia="仿宋"/>
          <w:sz w:val="24"/>
          <w:highlight w:val="none"/>
          <w:lang w:val="en-US" w:eastAsia="zh-CN"/>
        </w:rPr>
        <w:t>7</w:t>
      </w:r>
      <w:r>
        <w:rPr>
          <w:rFonts w:eastAsia="仿宋"/>
          <w:sz w:val="24"/>
          <w:highlight w:val="none"/>
          <w:lang w:val="mn-MN"/>
        </w:rPr>
        <w:t xml:space="preserve"> цагаас өмнө. </w:t>
      </w:r>
    </w:p>
    <w:p w14:paraId="13ED1587">
      <w:pPr>
        <w:spacing w:after="0" w:line="240" w:lineRule="auto"/>
        <w:rPr>
          <w:rFonts w:eastAsia="仿宋"/>
          <w:sz w:val="24"/>
          <w:lang w:val="mn-MN"/>
        </w:rPr>
      </w:pPr>
      <w:r>
        <w:rPr>
          <w:rFonts w:eastAsia="仿宋"/>
          <w:sz w:val="24"/>
          <w:lang w:val="mn-MN"/>
        </w:rPr>
        <w:t xml:space="preserve">17.2 Тендер зарлагч тухайн зааврын дагуу тендерийн материалд нэмэлт өөрчлөлт оруулахаар тендерийн сүүлийн хугацааг сунгаж болно. Ийм тохиолдолд тендерт оролцогчийн эрх үүрэг болон үүрэг хүлээх эцсийн хугацаа хязгаарлагдаж, сунгасан сүүлийн хугацааг баримтална. </w:t>
      </w:r>
    </w:p>
    <w:p w14:paraId="429596EE">
      <w:pPr>
        <w:spacing w:after="0" w:line="240" w:lineRule="auto"/>
        <w:rPr>
          <w:rFonts w:eastAsia="仿宋"/>
          <w:sz w:val="24"/>
          <w:lang w:val="mn-MN"/>
        </w:rPr>
      </w:pPr>
      <w:r>
        <w:rPr>
          <w:rFonts w:eastAsia="仿宋"/>
          <w:sz w:val="24"/>
          <w:lang w:val="mn-MN"/>
        </w:rPr>
        <w:t>17.3 Тендерийн сүүлийн хугацаа дуусахад хамгийн багадаа 3 тендерийн материал хүлээн авсан байна. Тендер зарлагч дахин тендерийг зохион байгуулах эсвэл өөр хэлбэрээр явуулах эрхтэй.</w:t>
      </w:r>
    </w:p>
    <w:p w14:paraId="15BB96E7">
      <w:pPr>
        <w:spacing w:after="0" w:line="240" w:lineRule="auto"/>
        <w:rPr>
          <w:rFonts w:eastAsia="仿宋"/>
          <w:sz w:val="24"/>
          <w:lang w:val="mn-MN"/>
        </w:rPr>
      </w:pPr>
    </w:p>
    <w:p w14:paraId="7755B132">
      <w:pPr>
        <w:spacing w:after="0" w:line="240" w:lineRule="auto"/>
        <w:rPr>
          <w:rFonts w:eastAsia="仿宋"/>
          <w:sz w:val="24"/>
          <w:lang w:val="mn-MN"/>
        </w:rPr>
      </w:pPr>
      <w:r>
        <w:rPr>
          <w:rFonts w:eastAsia="仿宋"/>
          <w:b/>
          <w:sz w:val="24"/>
          <w:lang w:val="mn-MN"/>
        </w:rPr>
        <w:t>18.</w:t>
      </w:r>
      <w:r>
        <w:rPr>
          <w:rFonts w:eastAsia="仿宋"/>
          <w:sz w:val="24"/>
          <w:lang w:val="mn-MN"/>
        </w:rPr>
        <w:t xml:space="preserve"> </w:t>
      </w:r>
      <w:r>
        <w:rPr>
          <w:rFonts w:eastAsia="仿宋"/>
          <w:b/>
          <w:sz w:val="24"/>
          <w:lang w:val="mn-MN"/>
        </w:rPr>
        <w:t>Хоцорсон тендерийн баримт бичиг</w:t>
      </w:r>
    </w:p>
    <w:p w14:paraId="3D018AD8">
      <w:pPr>
        <w:spacing w:after="0" w:line="240" w:lineRule="auto"/>
        <w:rPr>
          <w:rFonts w:eastAsia="仿宋"/>
          <w:sz w:val="24"/>
          <w:highlight w:val="none"/>
          <w:lang w:val="mn-MN"/>
        </w:rPr>
      </w:pPr>
      <w:r>
        <w:rPr>
          <w:rFonts w:eastAsia="仿宋"/>
          <w:sz w:val="24"/>
          <w:lang w:val="mn-MN"/>
        </w:rPr>
        <w:t>Тендер зар</w:t>
      </w:r>
      <w:r>
        <w:rPr>
          <w:rFonts w:eastAsia="仿宋"/>
          <w:sz w:val="24"/>
          <w:highlight w:val="none"/>
          <w:lang w:val="mn-MN"/>
        </w:rPr>
        <w:t>лагч 202</w:t>
      </w:r>
      <w:r>
        <w:rPr>
          <w:rFonts w:hint="eastAsia" w:eastAsia="仿宋"/>
          <w:sz w:val="24"/>
          <w:highlight w:val="none"/>
          <w:lang w:val="en-US" w:eastAsia="zh-CN"/>
        </w:rPr>
        <w:t>6</w:t>
      </w:r>
      <w:r>
        <w:rPr>
          <w:rFonts w:eastAsia="仿宋"/>
          <w:sz w:val="24"/>
          <w:highlight w:val="none"/>
          <w:lang w:val="mn-MN"/>
        </w:rPr>
        <w:t xml:space="preserve"> оны </w:t>
      </w:r>
      <w:r>
        <w:rPr>
          <w:rFonts w:hint="eastAsia" w:eastAsia="仿宋"/>
          <w:sz w:val="24"/>
          <w:highlight w:val="none"/>
          <w:lang w:val="en-US" w:eastAsia="zh-CN"/>
        </w:rPr>
        <w:t>02</w:t>
      </w:r>
      <w:r>
        <w:rPr>
          <w:rFonts w:eastAsia="仿宋"/>
          <w:sz w:val="24"/>
          <w:highlight w:val="none"/>
          <w:lang w:val="mn-MN"/>
        </w:rPr>
        <w:t xml:space="preserve">сарын </w:t>
      </w:r>
      <w:r>
        <w:rPr>
          <w:rFonts w:hint="eastAsia" w:eastAsia="仿宋"/>
          <w:sz w:val="24"/>
          <w:highlight w:val="none"/>
          <w:lang w:val="en-US" w:eastAsia="zh-CN"/>
        </w:rPr>
        <w:t>22</w:t>
      </w:r>
      <w:r>
        <w:rPr>
          <w:rFonts w:eastAsia="仿宋"/>
          <w:sz w:val="24"/>
          <w:highlight w:val="none"/>
          <w:lang w:val="mn-MN"/>
        </w:rPr>
        <w:t>-ны өдрийн</w:t>
      </w:r>
      <w:r>
        <w:rPr>
          <w:rFonts w:hint="eastAsia" w:eastAsia="仿宋"/>
          <w:sz w:val="24"/>
          <w:highlight w:val="none"/>
          <w:lang w:val="en-US" w:eastAsia="zh-CN"/>
        </w:rPr>
        <w:t xml:space="preserve"> 17</w:t>
      </w:r>
      <w:r>
        <w:rPr>
          <w:rFonts w:eastAsia="仿宋"/>
          <w:sz w:val="24"/>
          <w:highlight w:val="none"/>
          <w:lang w:val="mn-MN"/>
        </w:rPr>
        <w:t xml:space="preserve"> цагаас хойш ирсэн тендерийн материалыг хүлээн авахгүй. </w:t>
      </w:r>
    </w:p>
    <w:p w14:paraId="633A0C2C">
      <w:pPr>
        <w:spacing w:after="0" w:line="240" w:lineRule="auto"/>
        <w:rPr>
          <w:rFonts w:eastAsia="仿宋"/>
          <w:sz w:val="24"/>
          <w:lang w:val="mn-MN"/>
        </w:rPr>
      </w:pPr>
    </w:p>
    <w:p w14:paraId="7091E57F">
      <w:pPr>
        <w:spacing w:after="0" w:line="240" w:lineRule="auto"/>
        <w:rPr>
          <w:rFonts w:eastAsia="仿宋"/>
          <w:sz w:val="24"/>
          <w:lang w:val="mn-MN"/>
        </w:rPr>
      </w:pPr>
    </w:p>
    <w:p w14:paraId="17C3A4B3">
      <w:pPr>
        <w:spacing w:after="0" w:line="240" w:lineRule="auto"/>
        <w:rPr>
          <w:rFonts w:eastAsia="仿宋"/>
          <w:sz w:val="24"/>
          <w:lang w:val="mn-MN"/>
        </w:rPr>
      </w:pPr>
    </w:p>
    <w:p w14:paraId="55D1AC0A">
      <w:pPr>
        <w:spacing w:after="0" w:line="240" w:lineRule="auto"/>
        <w:rPr>
          <w:rFonts w:eastAsia="仿宋"/>
          <w:sz w:val="24"/>
          <w:lang w:val="mn-MN"/>
        </w:rPr>
      </w:pPr>
    </w:p>
    <w:p w14:paraId="7D836974">
      <w:pPr>
        <w:spacing w:after="0" w:line="240" w:lineRule="auto"/>
        <w:rPr>
          <w:rFonts w:eastAsia="仿宋"/>
          <w:sz w:val="24"/>
          <w:lang w:val="mn-MN"/>
        </w:rPr>
      </w:pPr>
    </w:p>
    <w:p w14:paraId="264EFE58">
      <w:pPr>
        <w:spacing w:after="0" w:line="240" w:lineRule="auto"/>
        <w:rPr>
          <w:rFonts w:eastAsia="仿宋"/>
          <w:sz w:val="24"/>
          <w:lang w:val="mn-MN"/>
        </w:rPr>
      </w:pPr>
    </w:p>
    <w:p w14:paraId="6A0A0CDC">
      <w:pPr>
        <w:spacing w:after="0" w:line="240" w:lineRule="auto"/>
        <w:rPr>
          <w:rFonts w:eastAsia="仿宋"/>
          <w:sz w:val="24"/>
          <w:lang w:val="mn-MN"/>
        </w:rPr>
      </w:pPr>
    </w:p>
    <w:p w14:paraId="5159C68B">
      <w:pPr>
        <w:spacing w:after="0" w:line="240" w:lineRule="auto"/>
        <w:rPr>
          <w:rFonts w:eastAsia="仿宋"/>
          <w:sz w:val="24"/>
          <w:lang w:val="mn-MN"/>
        </w:rPr>
      </w:pPr>
    </w:p>
    <w:p w14:paraId="5184BE12">
      <w:pPr>
        <w:spacing w:after="0" w:line="240" w:lineRule="auto"/>
        <w:rPr>
          <w:rFonts w:eastAsia="仿宋"/>
          <w:sz w:val="24"/>
          <w:lang w:val="mn-MN"/>
        </w:rPr>
      </w:pPr>
    </w:p>
    <w:p w14:paraId="7AA428B9">
      <w:pPr>
        <w:spacing w:after="0" w:line="240" w:lineRule="auto"/>
        <w:rPr>
          <w:rFonts w:eastAsia="仿宋"/>
          <w:sz w:val="24"/>
          <w:lang w:val="mn-MN"/>
        </w:rPr>
      </w:pPr>
    </w:p>
    <w:p w14:paraId="16C13755">
      <w:pPr>
        <w:spacing w:after="0" w:line="240" w:lineRule="auto"/>
        <w:rPr>
          <w:rFonts w:eastAsia="仿宋"/>
          <w:sz w:val="24"/>
          <w:lang w:val="mn-MN"/>
        </w:rPr>
      </w:pPr>
    </w:p>
    <w:p w14:paraId="03BDE05E">
      <w:pPr>
        <w:spacing w:after="0" w:line="240" w:lineRule="auto"/>
        <w:rPr>
          <w:rFonts w:eastAsia="仿宋"/>
          <w:sz w:val="24"/>
          <w:lang w:val="mn-MN"/>
        </w:rPr>
      </w:pPr>
    </w:p>
    <w:p w14:paraId="73E43DE4">
      <w:pPr>
        <w:spacing w:after="0" w:line="240" w:lineRule="auto"/>
        <w:rPr>
          <w:rFonts w:eastAsia="仿宋"/>
          <w:sz w:val="24"/>
          <w:lang w:val="mn-MN"/>
        </w:rPr>
      </w:pPr>
    </w:p>
    <w:p w14:paraId="551BB96E">
      <w:pPr>
        <w:spacing w:after="0" w:line="240" w:lineRule="auto"/>
        <w:rPr>
          <w:rFonts w:eastAsia="仿宋"/>
          <w:sz w:val="24"/>
          <w:lang w:val="mn-MN"/>
        </w:rPr>
      </w:pPr>
    </w:p>
    <w:p w14:paraId="4890B166">
      <w:pPr>
        <w:spacing w:after="0" w:line="240" w:lineRule="auto"/>
        <w:rPr>
          <w:rFonts w:eastAsia="仿宋"/>
          <w:sz w:val="24"/>
          <w:lang w:val="mn-MN"/>
        </w:rPr>
      </w:pPr>
    </w:p>
    <w:p w14:paraId="75B920E4">
      <w:pPr>
        <w:spacing w:after="0" w:line="240" w:lineRule="auto"/>
        <w:rPr>
          <w:rFonts w:eastAsia="仿宋"/>
          <w:sz w:val="24"/>
          <w:lang w:val="mn-MN"/>
        </w:rPr>
      </w:pPr>
    </w:p>
    <w:p w14:paraId="18B3586A">
      <w:pPr>
        <w:spacing w:after="0" w:line="240" w:lineRule="auto"/>
        <w:rPr>
          <w:rFonts w:eastAsia="仿宋"/>
          <w:sz w:val="24"/>
          <w:lang w:val="mn-MN"/>
        </w:rPr>
      </w:pPr>
    </w:p>
    <w:p w14:paraId="5F51AAB4">
      <w:pPr>
        <w:spacing w:after="0" w:line="240" w:lineRule="auto"/>
        <w:rPr>
          <w:rFonts w:eastAsia="仿宋"/>
          <w:sz w:val="24"/>
          <w:lang w:val="mn-MN"/>
        </w:rPr>
      </w:pPr>
    </w:p>
    <w:p w14:paraId="4B86B287">
      <w:pPr>
        <w:spacing w:after="0" w:line="240" w:lineRule="auto"/>
        <w:rPr>
          <w:rFonts w:eastAsia="仿宋"/>
          <w:sz w:val="24"/>
          <w:lang w:val="mn-MN"/>
        </w:rPr>
      </w:pPr>
    </w:p>
    <w:p w14:paraId="3CD1EDD1">
      <w:pPr>
        <w:spacing w:after="0" w:line="240" w:lineRule="auto"/>
        <w:rPr>
          <w:rFonts w:eastAsia="仿宋"/>
          <w:sz w:val="24"/>
          <w:lang w:val="mn-MN"/>
        </w:rPr>
      </w:pPr>
    </w:p>
    <w:p w14:paraId="05F16133">
      <w:pPr>
        <w:spacing w:after="0" w:line="240" w:lineRule="auto"/>
        <w:rPr>
          <w:rFonts w:eastAsia="仿宋"/>
          <w:sz w:val="24"/>
          <w:lang w:val="mn-MN"/>
        </w:rPr>
      </w:pPr>
    </w:p>
    <w:p w14:paraId="284A139A">
      <w:pPr>
        <w:spacing w:after="0" w:line="240" w:lineRule="auto"/>
        <w:rPr>
          <w:rFonts w:eastAsia="仿宋"/>
          <w:sz w:val="24"/>
          <w:lang w:val="mn-MN"/>
        </w:rPr>
      </w:pPr>
    </w:p>
    <w:p w14:paraId="19A049EC">
      <w:pPr>
        <w:spacing w:after="0" w:line="240" w:lineRule="auto"/>
        <w:rPr>
          <w:rFonts w:eastAsia="仿宋"/>
          <w:sz w:val="24"/>
          <w:lang w:val="mn-MN"/>
        </w:rPr>
      </w:pPr>
    </w:p>
    <w:p w14:paraId="046C48D0">
      <w:pPr>
        <w:spacing w:after="0" w:line="240" w:lineRule="auto"/>
        <w:rPr>
          <w:rFonts w:eastAsia="仿宋"/>
          <w:sz w:val="24"/>
          <w:lang w:val="mn-MN"/>
        </w:rPr>
      </w:pPr>
    </w:p>
    <w:p w14:paraId="7B7AF8F1">
      <w:pPr>
        <w:spacing w:after="0" w:line="240" w:lineRule="auto"/>
        <w:rPr>
          <w:rFonts w:eastAsia="仿宋"/>
          <w:sz w:val="24"/>
          <w:lang w:val="mn-MN"/>
        </w:rPr>
      </w:pPr>
    </w:p>
    <w:p w14:paraId="6B8862A2">
      <w:pPr>
        <w:spacing w:after="0" w:line="240" w:lineRule="auto"/>
        <w:jc w:val="center"/>
        <w:rPr>
          <w:rFonts w:eastAsia="仿宋"/>
          <w:b/>
          <w:sz w:val="32"/>
          <w:lang w:val="mn-MN"/>
        </w:rPr>
      </w:pPr>
      <w:r>
        <w:rPr>
          <w:rFonts w:eastAsia="仿宋"/>
          <w:b/>
          <w:sz w:val="32"/>
          <w:lang w:val="mn-MN"/>
        </w:rPr>
        <w:t>（ Тав ）Тендерийг нээх</w:t>
      </w:r>
    </w:p>
    <w:p w14:paraId="7E50000A">
      <w:pPr>
        <w:spacing w:after="0" w:line="240" w:lineRule="auto"/>
        <w:rPr>
          <w:rFonts w:eastAsia="仿宋"/>
          <w:b/>
          <w:sz w:val="24"/>
          <w:lang w:val="mn-MN"/>
        </w:rPr>
      </w:pPr>
      <w:r>
        <w:rPr>
          <w:rFonts w:eastAsia="仿宋"/>
          <w:b/>
          <w:sz w:val="24"/>
          <w:lang w:val="mn-MN"/>
        </w:rPr>
        <w:t xml:space="preserve">20. Тендер нээх </w:t>
      </w:r>
    </w:p>
    <w:p w14:paraId="4A922C24">
      <w:pPr>
        <w:spacing w:after="0" w:line="240" w:lineRule="auto"/>
        <w:rPr>
          <w:rFonts w:eastAsia="仿宋"/>
          <w:sz w:val="24"/>
          <w:highlight w:val="none"/>
          <w:lang w:val="mn-MN"/>
        </w:rPr>
      </w:pPr>
      <w:r>
        <w:rPr>
          <w:rFonts w:eastAsia="仿宋"/>
          <w:sz w:val="24"/>
          <w:lang w:val="mn-MN"/>
        </w:rPr>
        <w:t xml:space="preserve">20.1 </w:t>
      </w:r>
      <w:r>
        <w:rPr>
          <w:rFonts w:eastAsia="仿宋"/>
          <w:sz w:val="24"/>
          <w:highlight w:val="none"/>
          <w:lang w:val="mn-MN"/>
        </w:rPr>
        <w:t>202</w:t>
      </w:r>
      <w:r>
        <w:rPr>
          <w:rFonts w:hint="eastAsia" w:eastAsia="仿宋"/>
          <w:sz w:val="24"/>
          <w:highlight w:val="none"/>
          <w:lang w:val="en-US" w:eastAsia="zh-CN"/>
        </w:rPr>
        <w:t>6</w:t>
      </w:r>
      <w:r>
        <w:rPr>
          <w:rFonts w:eastAsia="仿宋"/>
          <w:sz w:val="24"/>
          <w:highlight w:val="none"/>
          <w:lang w:val="mn-MN"/>
        </w:rPr>
        <w:t xml:space="preserve"> оны </w:t>
      </w:r>
      <w:r>
        <w:rPr>
          <w:rFonts w:hint="eastAsia" w:eastAsia="仿宋"/>
          <w:sz w:val="24"/>
          <w:highlight w:val="none"/>
          <w:lang w:val="en-US" w:eastAsia="zh-CN"/>
        </w:rPr>
        <w:t>02</w:t>
      </w:r>
      <w:r>
        <w:rPr>
          <w:rFonts w:eastAsia="仿宋"/>
          <w:sz w:val="24"/>
          <w:highlight w:val="none"/>
          <w:lang w:val="mn-MN"/>
        </w:rPr>
        <w:t xml:space="preserve">сарын </w:t>
      </w:r>
      <w:r>
        <w:rPr>
          <w:rFonts w:hint="eastAsia" w:eastAsia="仿宋"/>
          <w:sz w:val="24"/>
          <w:highlight w:val="none"/>
          <w:lang w:val="en-US" w:eastAsia="zh-CN"/>
        </w:rPr>
        <w:t>23</w:t>
      </w:r>
      <w:r>
        <w:rPr>
          <w:rFonts w:eastAsia="仿宋"/>
          <w:sz w:val="24"/>
          <w:highlight w:val="none"/>
          <w:lang w:val="mn-MN"/>
        </w:rPr>
        <w:t>-ны өдрийн 1</w:t>
      </w:r>
      <w:r>
        <w:rPr>
          <w:rFonts w:hint="eastAsia" w:eastAsia="仿宋"/>
          <w:sz w:val="24"/>
          <w:highlight w:val="none"/>
          <w:lang w:val="en-US" w:eastAsia="zh-CN"/>
        </w:rPr>
        <w:t>0</w:t>
      </w:r>
      <w:r>
        <w:rPr>
          <w:rFonts w:eastAsia="仿宋"/>
          <w:sz w:val="24"/>
          <w:highlight w:val="none"/>
          <w:lang w:val="mn-MN"/>
        </w:rPr>
        <w:t>:</w:t>
      </w:r>
      <w:r>
        <w:rPr>
          <w:rFonts w:hint="eastAsia" w:eastAsia="仿宋"/>
          <w:sz w:val="24"/>
          <w:highlight w:val="none"/>
          <w:lang w:val="en-US" w:eastAsia="zh-CN"/>
        </w:rPr>
        <w:t>0</w:t>
      </w:r>
      <w:r>
        <w:rPr>
          <w:rFonts w:eastAsia="仿宋"/>
          <w:sz w:val="24"/>
          <w:highlight w:val="none"/>
          <w:lang w:val="mn-MN"/>
        </w:rPr>
        <w:t>0 цагт Шинь Шинь ХХК</w:t>
      </w:r>
      <w:r>
        <w:rPr>
          <w:rFonts w:hint="eastAsia" w:eastAsia="仿宋"/>
          <w:sz w:val="24"/>
          <w:highlight w:val="none"/>
          <w:lang w:val="en-US" w:eastAsia="zh-CN"/>
        </w:rPr>
        <w:t xml:space="preserve"> </w:t>
      </w:r>
      <w:r>
        <w:rPr>
          <w:rFonts w:eastAsia="仿宋"/>
          <w:sz w:val="24"/>
          <w:highlight w:val="none"/>
          <w:lang w:val="mn-MN"/>
        </w:rPr>
        <w:t>төлөөлөгчийн газар тендерийг нээх бөгөөд бүх тендерт оролцогчид оролцоно.</w:t>
      </w:r>
    </w:p>
    <w:p w14:paraId="29D0CED4">
      <w:pPr>
        <w:spacing w:after="0" w:line="240" w:lineRule="auto"/>
        <w:rPr>
          <w:rFonts w:eastAsia="仿宋"/>
          <w:sz w:val="24"/>
          <w:highlight w:val="none"/>
          <w:lang w:val="mn-MN"/>
        </w:rPr>
      </w:pPr>
      <w:r>
        <w:rPr>
          <w:rFonts w:eastAsia="仿宋"/>
          <w:sz w:val="24"/>
          <w:highlight w:val="none"/>
          <w:lang w:val="mn-MN"/>
        </w:rPr>
        <w:t xml:space="preserve">20.2 Үнэлгээний комисс тус тендерийн материал хүчинтэй эсэхийг тогтооно. </w:t>
      </w:r>
    </w:p>
    <w:p w14:paraId="3CED8B9D">
      <w:pPr>
        <w:spacing w:after="0" w:line="240" w:lineRule="auto"/>
        <w:rPr>
          <w:rFonts w:eastAsia="仿宋"/>
          <w:sz w:val="24"/>
          <w:highlight w:val="none"/>
          <w:lang w:val="mn-MN"/>
        </w:rPr>
      </w:pPr>
      <w:r>
        <w:rPr>
          <w:rFonts w:eastAsia="仿宋"/>
          <w:sz w:val="24"/>
          <w:highlight w:val="none"/>
          <w:lang w:val="mn-MN"/>
        </w:rPr>
        <w:t xml:space="preserve">20.3 Тендер нээх дараалал: </w:t>
      </w:r>
    </w:p>
    <w:p w14:paraId="7EA58D26">
      <w:pPr>
        <w:spacing w:after="0" w:line="240" w:lineRule="auto"/>
        <w:rPr>
          <w:rFonts w:eastAsia="仿宋"/>
          <w:sz w:val="24"/>
          <w:highlight w:val="none"/>
          <w:lang w:val="mn-MN"/>
        </w:rPr>
      </w:pPr>
      <w:r>
        <w:rPr>
          <w:rFonts w:eastAsia="仿宋"/>
          <w:sz w:val="24"/>
          <w:highlight w:val="none"/>
          <w:lang w:val="mn-MN"/>
        </w:rPr>
        <w:t>20.3.1 Тендерийг тендер зарлагч зохион байгуулна</w:t>
      </w:r>
    </w:p>
    <w:p w14:paraId="61781B04">
      <w:pPr>
        <w:spacing w:after="0" w:line="240" w:lineRule="auto"/>
        <w:rPr>
          <w:rFonts w:eastAsia="仿宋"/>
          <w:sz w:val="24"/>
          <w:highlight w:val="none"/>
          <w:lang w:val="mn-MN"/>
        </w:rPr>
      </w:pPr>
      <w:r>
        <w:rPr>
          <w:rFonts w:eastAsia="仿宋"/>
          <w:sz w:val="24"/>
          <w:highlight w:val="none"/>
          <w:lang w:val="mn-MN"/>
        </w:rPr>
        <w:t xml:space="preserve">20.3.2 Тендерт оролцогч эсвэл сонгогдсон төлөөлөгч тендерийн баримт бичгийг битүүмжлэгдсэн байдалд хяналт тавина. </w:t>
      </w:r>
    </w:p>
    <w:p w14:paraId="443EFDBC">
      <w:pPr>
        <w:spacing w:after="0" w:line="240" w:lineRule="auto"/>
        <w:rPr>
          <w:rFonts w:eastAsia="仿宋"/>
          <w:sz w:val="24"/>
          <w:highlight w:val="none"/>
          <w:lang w:val="mn-MN"/>
        </w:rPr>
      </w:pPr>
      <w:r>
        <w:rPr>
          <w:rFonts w:eastAsia="仿宋"/>
          <w:sz w:val="24"/>
          <w:highlight w:val="none"/>
          <w:lang w:val="mn-MN"/>
        </w:rPr>
        <w:t xml:space="preserve">20.3.3 Баталгаажуулсны дараа холбогдох ажилтан тендерийг нээж, тендерт оролцогчийн нэр, үнийн санал болон тендерийн материалын бусад гол агуулгыг уншиж танилцуулна. </w:t>
      </w:r>
    </w:p>
    <w:p w14:paraId="5F73180D">
      <w:pPr>
        <w:spacing w:after="0" w:line="240" w:lineRule="auto"/>
        <w:rPr>
          <w:rFonts w:eastAsia="仿宋"/>
          <w:sz w:val="24"/>
          <w:highlight w:val="none"/>
          <w:lang w:val="mn-MN"/>
        </w:rPr>
      </w:pPr>
      <w:r>
        <w:rPr>
          <w:rFonts w:eastAsia="仿宋"/>
          <w:sz w:val="24"/>
          <w:highlight w:val="none"/>
          <w:lang w:val="mn-MN"/>
        </w:rPr>
        <w:t>20.4 Тендер зарлагч нь 202</w:t>
      </w:r>
      <w:r>
        <w:rPr>
          <w:rFonts w:hint="eastAsia" w:eastAsia="仿宋"/>
          <w:sz w:val="24"/>
          <w:highlight w:val="none"/>
          <w:lang w:val="en-US" w:eastAsia="zh-CN"/>
        </w:rPr>
        <w:t>6</w:t>
      </w:r>
      <w:r>
        <w:rPr>
          <w:rFonts w:eastAsia="仿宋"/>
          <w:sz w:val="24"/>
          <w:highlight w:val="none"/>
          <w:lang w:val="mn-MN"/>
        </w:rPr>
        <w:t xml:space="preserve"> оны </w:t>
      </w:r>
      <w:r>
        <w:rPr>
          <w:rFonts w:hint="eastAsia" w:eastAsia="仿宋"/>
          <w:sz w:val="24"/>
          <w:highlight w:val="none"/>
          <w:lang w:val="en-US" w:eastAsia="zh-CN"/>
        </w:rPr>
        <w:t>02</w:t>
      </w:r>
      <w:r>
        <w:rPr>
          <w:rFonts w:eastAsia="仿宋"/>
          <w:sz w:val="24"/>
          <w:highlight w:val="none"/>
          <w:lang w:val="mn-MN"/>
        </w:rPr>
        <w:t xml:space="preserve"> сарын </w:t>
      </w:r>
      <w:r>
        <w:rPr>
          <w:rFonts w:hint="eastAsia" w:eastAsia="仿宋"/>
          <w:sz w:val="24"/>
          <w:highlight w:val="none"/>
          <w:lang w:val="en-US" w:eastAsia="zh-CN"/>
        </w:rPr>
        <w:t>22</w:t>
      </w:r>
      <w:r>
        <w:rPr>
          <w:rFonts w:eastAsia="仿宋"/>
          <w:sz w:val="24"/>
          <w:highlight w:val="none"/>
          <w:lang w:val="mn-MN"/>
        </w:rPr>
        <w:t>-ны өдрийн 1</w:t>
      </w:r>
      <w:r>
        <w:rPr>
          <w:rFonts w:hint="eastAsia" w:eastAsia="仿宋"/>
          <w:sz w:val="24"/>
          <w:highlight w:val="none"/>
          <w:lang w:val="en-US" w:eastAsia="zh-CN"/>
        </w:rPr>
        <w:t>7</w:t>
      </w:r>
      <w:r>
        <w:rPr>
          <w:rFonts w:eastAsia="仿宋"/>
          <w:sz w:val="24"/>
          <w:highlight w:val="none"/>
          <w:lang w:val="mn-MN"/>
        </w:rPr>
        <w:t xml:space="preserve"> цагаас өмнө хүлээн авсан тендерийн материалыг тендер нээхэд олон нийтэд нээлттэй болгоно.</w:t>
      </w:r>
    </w:p>
    <w:p w14:paraId="3B58FC13">
      <w:pPr>
        <w:spacing w:after="0" w:line="240" w:lineRule="auto"/>
        <w:rPr>
          <w:rFonts w:eastAsia="仿宋"/>
          <w:sz w:val="24"/>
          <w:lang w:val="mn-MN"/>
        </w:rPr>
      </w:pPr>
      <w:r>
        <w:rPr>
          <w:rFonts w:eastAsia="仿宋"/>
          <w:sz w:val="24"/>
          <w:highlight w:val="none"/>
          <w:lang w:val="mn-MN"/>
        </w:rPr>
        <w:t xml:space="preserve">20.5 Тендер зарлагч тендер нээх явцад тэмдэглэл хийж </w:t>
      </w:r>
      <w:r>
        <w:rPr>
          <w:rFonts w:eastAsia="仿宋"/>
          <w:sz w:val="24"/>
          <w:lang w:val="mn-MN"/>
        </w:rPr>
        <w:t xml:space="preserve">архивлана. </w:t>
      </w:r>
    </w:p>
    <w:p w14:paraId="1F8EB0AC">
      <w:pPr>
        <w:spacing w:after="0" w:line="240" w:lineRule="auto"/>
        <w:rPr>
          <w:rFonts w:eastAsia="仿宋"/>
          <w:sz w:val="24"/>
          <w:lang w:val="mn-MN"/>
        </w:rPr>
      </w:pPr>
      <w:r>
        <w:rPr>
          <w:rFonts w:eastAsia="仿宋"/>
          <w:sz w:val="24"/>
          <w:lang w:val="mn-MN"/>
        </w:rPr>
        <w:t>20.6 Тендерт оролцогч нь тендерийн нээлтэнд ирэхдээ дараах гэрчилгээний эх хувь болон бусад байгуулгуудтай хийж гүйцэтгэсэн тодорхойлолт баримт материал авч ирнэ:</w:t>
      </w:r>
    </w:p>
    <w:p w14:paraId="74B80EBA">
      <w:pPr>
        <w:spacing w:after="0" w:line="240" w:lineRule="auto"/>
        <w:rPr>
          <w:rFonts w:eastAsia="仿宋"/>
          <w:sz w:val="24"/>
          <w:lang w:val="mn-MN"/>
        </w:rPr>
      </w:pPr>
      <w:r>
        <w:rPr>
          <w:rFonts w:eastAsia="仿宋"/>
          <w:sz w:val="24"/>
          <w:lang w:val="mn-MN"/>
        </w:rPr>
        <w:t xml:space="preserve">Улсын бүртгэлийн гэрчилгээ , Татварын гэрчилгээ, зам тээврийн тусгай зөвшөөрөл гэх мэт. </w:t>
      </w:r>
    </w:p>
    <w:p w14:paraId="24AD6466">
      <w:pPr>
        <w:spacing w:after="0" w:line="240" w:lineRule="auto"/>
        <w:rPr>
          <w:rFonts w:eastAsia="仿宋"/>
          <w:b/>
          <w:sz w:val="24"/>
          <w:lang w:val="mn-MN"/>
        </w:rPr>
      </w:pPr>
      <w:r>
        <w:rPr>
          <w:rFonts w:eastAsia="仿宋"/>
          <w:b/>
          <w:sz w:val="24"/>
          <w:lang w:val="mn-MN"/>
        </w:rPr>
        <w:t>21. Тендерийн баримт бичгийн хүчинтэй хугацаа（ Тендерийн үнэлгээний аргыг үзэх ）</w:t>
      </w:r>
    </w:p>
    <w:p w14:paraId="317C3D49">
      <w:pPr>
        <w:spacing w:after="0" w:line="240" w:lineRule="auto"/>
        <w:rPr>
          <w:rFonts w:eastAsia="仿宋"/>
          <w:sz w:val="24"/>
          <w:lang w:val="mn-MN"/>
        </w:rPr>
      </w:pPr>
    </w:p>
    <w:p w14:paraId="45109F9D">
      <w:pPr>
        <w:spacing w:after="0" w:line="240" w:lineRule="auto"/>
        <w:rPr>
          <w:rFonts w:eastAsia="仿宋"/>
          <w:sz w:val="24"/>
          <w:lang w:val="mn-MN"/>
        </w:rPr>
      </w:pPr>
    </w:p>
    <w:p w14:paraId="5EB874D4">
      <w:pPr>
        <w:spacing w:after="0" w:line="240" w:lineRule="auto"/>
        <w:rPr>
          <w:rFonts w:eastAsia="仿宋"/>
          <w:sz w:val="24"/>
          <w:lang w:val="mn-MN"/>
        </w:rPr>
      </w:pPr>
    </w:p>
    <w:p w14:paraId="48CBD7C0">
      <w:pPr>
        <w:spacing w:after="0" w:line="240" w:lineRule="auto"/>
        <w:rPr>
          <w:rFonts w:eastAsia="仿宋"/>
          <w:sz w:val="24"/>
          <w:lang w:val="mn-MN"/>
        </w:rPr>
      </w:pPr>
    </w:p>
    <w:p w14:paraId="6129A4E9">
      <w:pPr>
        <w:spacing w:after="0" w:line="240" w:lineRule="auto"/>
        <w:rPr>
          <w:rFonts w:eastAsia="仿宋"/>
          <w:sz w:val="24"/>
          <w:lang w:val="mn-MN"/>
        </w:rPr>
      </w:pPr>
    </w:p>
    <w:p w14:paraId="2DAEC7C1">
      <w:pPr>
        <w:spacing w:after="0" w:line="240" w:lineRule="auto"/>
        <w:rPr>
          <w:rFonts w:eastAsia="仿宋"/>
          <w:sz w:val="24"/>
          <w:lang w:val="mn-MN"/>
        </w:rPr>
      </w:pPr>
    </w:p>
    <w:p w14:paraId="43AAC87D">
      <w:pPr>
        <w:spacing w:after="0" w:line="240" w:lineRule="auto"/>
        <w:rPr>
          <w:rFonts w:eastAsia="仿宋"/>
          <w:sz w:val="24"/>
          <w:lang w:val="mn-MN"/>
        </w:rPr>
      </w:pPr>
    </w:p>
    <w:p w14:paraId="7FD9B4E9">
      <w:pPr>
        <w:spacing w:after="0" w:line="240" w:lineRule="auto"/>
        <w:rPr>
          <w:rFonts w:eastAsia="仿宋"/>
          <w:sz w:val="24"/>
          <w:lang w:val="mn-MN"/>
        </w:rPr>
      </w:pPr>
    </w:p>
    <w:p w14:paraId="679912F9">
      <w:pPr>
        <w:spacing w:after="0" w:line="240" w:lineRule="auto"/>
        <w:rPr>
          <w:rFonts w:eastAsia="仿宋"/>
          <w:sz w:val="24"/>
          <w:lang w:val="mn-MN"/>
        </w:rPr>
      </w:pPr>
    </w:p>
    <w:p w14:paraId="224B8995">
      <w:pPr>
        <w:spacing w:after="0" w:line="240" w:lineRule="auto"/>
        <w:rPr>
          <w:rFonts w:eastAsia="仿宋"/>
          <w:sz w:val="24"/>
          <w:lang w:val="mn-MN"/>
        </w:rPr>
      </w:pPr>
    </w:p>
    <w:p w14:paraId="22CD4FB4">
      <w:pPr>
        <w:spacing w:after="0" w:line="240" w:lineRule="auto"/>
        <w:rPr>
          <w:rFonts w:eastAsia="仿宋"/>
          <w:sz w:val="24"/>
          <w:lang w:val="mn-MN"/>
        </w:rPr>
      </w:pPr>
    </w:p>
    <w:p w14:paraId="0CAE9AF4">
      <w:pPr>
        <w:spacing w:after="0" w:line="240" w:lineRule="auto"/>
        <w:rPr>
          <w:rFonts w:eastAsia="仿宋"/>
          <w:sz w:val="24"/>
          <w:lang w:val="mn-MN"/>
        </w:rPr>
      </w:pPr>
    </w:p>
    <w:p w14:paraId="3553CC8D">
      <w:pPr>
        <w:spacing w:after="0" w:line="240" w:lineRule="auto"/>
        <w:rPr>
          <w:rFonts w:eastAsia="仿宋"/>
          <w:sz w:val="24"/>
          <w:lang w:val="mn-MN"/>
        </w:rPr>
      </w:pPr>
    </w:p>
    <w:p w14:paraId="5E6EB9CA">
      <w:pPr>
        <w:spacing w:after="0" w:line="240" w:lineRule="auto"/>
        <w:rPr>
          <w:rFonts w:eastAsia="仿宋"/>
          <w:sz w:val="24"/>
          <w:lang w:val="mn-MN"/>
        </w:rPr>
      </w:pPr>
    </w:p>
    <w:p w14:paraId="1700CD13">
      <w:pPr>
        <w:spacing w:after="0" w:line="240" w:lineRule="auto"/>
        <w:rPr>
          <w:rFonts w:eastAsia="仿宋"/>
          <w:sz w:val="24"/>
          <w:lang w:val="mn-MN"/>
        </w:rPr>
      </w:pPr>
    </w:p>
    <w:p w14:paraId="112CB873">
      <w:pPr>
        <w:spacing w:after="0" w:line="240" w:lineRule="auto"/>
        <w:rPr>
          <w:rFonts w:eastAsia="仿宋"/>
          <w:sz w:val="24"/>
          <w:lang w:val="mn-MN"/>
        </w:rPr>
      </w:pPr>
    </w:p>
    <w:p w14:paraId="0690DE7C">
      <w:pPr>
        <w:spacing w:after="0" w:line="240" w:lineRule="auto"/>
        <w:rPr>
          <w:rFonts w:eastAsia="仿宋"/>
          <w:sz w:val="24"/>
          <w:lang w:val="mn-MN"/>
        </w:rPr>
      </w:pPr>
    </w:p>
    <w:p w14:paraId="694A9B88">
      <w:pPr>
        <w:spacing w:after="0" w:line="240" w:lineRule="auto"/>
        <w:rPr>
          <w:rFonts w:eastAsia="仿宋"/>
          <w:sz w:val="24"/>
          <w:lang w:val="mn-MN"/>
        </w:rPr>
      </w:pPr>
    </w:p>
    <w:p w14:paraId="625DBE9F">
      <w:pPr>
        <w:spacing w:after="0" w:line="240" w:lineRule="auto"/>
        <w:rPr>
          <w:rFonts w:eastAsia="仿宋"/>
          <w:sz w:val="24"/>
          <w:lang w:val="mn-MN"/>
        </w:rPr>
      </w:pPr>
    </w:p>
    <w:p w14:paraId="35694F69">
      <w:pPr>
        <w:spacing w:after="0" w:line="240" w:lineRule="auto"/>
        <w:rPr>
          <w:rFonts w:eastAsia="仿宋"/>
          <w:sz w:val="24"/>
          <w:lang w:val="mn-MN"/>
        </w:rPr>
      </w:pPr>
    </w:p>
    <w:p w14:paraId="652A2319">
      <w:pPr>
        <w:spacing w:after="0" w:line="240" w:lineRule="auto"/>
        <w:rPr>
          <w:rFonts w:eastAsia="仿宋"/>
          <w:sz w:val="24"/>
          <w:lang w:val="mn-MN"/>
        </w:rPr>
      </w:pPr>
    </w:p>
    <w:p w14:paraId="2ED0A42C">
      <w:pPr>
        <w:spacing w:after="0" w:line="240" w:lineRule="auto"/>
        <w:rPr>
          <w:rFonts w:eastAsia="仿宋"/>
          <w:sz w:val="24"/>
          <w:lang w:val="mn-MN"/>
        </w:rPr>
      </w:pPr>
    </w:p>
    <w:p w14:paraId="57620A25">
      <w:pPr>
        <w:spacing w:after="0" w:line="240" w:lineRule="auto"/>
        <w:rPr>
          <w:rFonts w:eastAsia="仿宋"/>
          <w:sz w:val="24"/>
          <w:lang w:val="mn-MN"/>
        </w:rPr>
      </w:pPr>
    </w:p>
    <w:p w14:paraId="32700C47">
      <w:pPr>
        <w:spacing w:after="0" w:line="240" w:lineRule="auto"/>
        <w:jc w:val="center"/>
        <w:rPr>
          <w:rFonts w:eastAsia="仿宋"/>
          <w:b/>
          <w:sz w:val="32"/>
          <w:lang w:val="mn-MN"/>
        </w:rPr>
      </w:pPr>
      <w:r>
        <w:rPr>
          <w:rFonts w:eastAsia="仿宋"/>
          <w:b/>
          <w:sz w:val="32"/>
          <w:lang w:val="mn-MN"/>
        </w:rPr>
        <w:t>（ Зургаа ）Тендерийг үнэлэх</w:t>
      </w:r>
    </w:p>
    <w:p w14:paraId="2A34FC72">
      <w:pPr>
        <w:spacing w:after="0" w:line="240" w:lineRule="auto"/>
        <w:rPr>
          <w:rFonts w:eastAsia="仿宋"/>
          <w:b/>
          <w:sz w:val="24"/>
          <w:lang w:val="mn-MN"/>
        </w:rPr>
      </w:pPr>
      <w:r>
        <w:rPr>
          <w:rFonts w:eastAsia="仿宋"/>
          <w:b/>
          <w:sz w:val="24"/>
          <w:lang w:val="mn-MN"/>
        </w:rPr>
        <w:t>22. Тендерийн үнэлгээний комисс болон тендерийг үнэлэх</w:t>
      </w:r>
    </w:p>
    <w:p w14:paraId="355814D6">
      <w:pPr>
        <w:spacing w:after="0" w:line="240" w:lineRule="auto"/>
        <w:rPr>
          <w:rFonts w:eastAsia="仿宋"/>
          <w:sz w:val="24"/>
          <w:lang w:val="mn-MN"/>
        </w:rPr>
      </w:pPr>
      <w:r>
        <w:rPr>
          <w:rFonts w:eastAsia="仿宋"/>
          <w:sz w:val="24"/>
          <w:lang w:val="mn-MN"/>
        </w:rPr>
        <w:t xml:space="preserve">1. Тендерт оролцогч хуулийн этгээд эсвэл итгэмжлэгдсэн төлөөлөгч тендерийн нээлтэнд оролцохдоо иргэний үнэмлэхээ авч ирнэ, итгэмжлэгдсэн төлөөлөгч бол итгэмжлэх бичгээ авч ирнэ. Тендерт оролцогч тендер нээхэд тендерийн материал болон эх хувийг шалгаж үзнэ. </w:t>
      </w:r>
    </w:p>
    <w:p w14:paraId="21C2FF1A">
      <w:pPr>
        <w:spacing w:after="0" w:line="240" w:lineRule="auto"/>
        <w:rPr>
          <w:rFonts w:eastAsia="仿宋"/>
          <w:sz w:val="24"/>
          <w:lang w:val="mn-MN"/>
        </w:rPr>
      </w:pPr>
      <w:r>
        <w:rPr>
          <w:rFonts w:eastAsia="仿宋"/>
          <w:sz w:val="24"/>
          <w:lang w:val="mn-MN"/>
        </w:rPr>
        <w:t>2. Үнэлгээний комиссыг тендер зарлагч хуулийн дагуу байгуулах бөгөөд нийт 5 гишүүнтэй байна. Үүнээс хамгийн багадаа 3-ны 2 нь эдийн засгийн хамааралтай мэргэжилтэн байх ба комиссын гишүүдийг тендер нээхээс</w:t>
      </w:r>
      <w:r>
        <w:rPr>
          <w:rFonts w:hint="eastAsia" w:eastAsia="仿宋"/>
          <w:sz w:val="24"/>
          <w:lang w:val="en-US" w:eastAsia="zh-CN"/>
        </w:rPr>
        <w:t xml:space="preserve"> 1</w:t>
      </w:r>
      <w:r>
        <w:rPr>
          <w:rFonts w:hint="default" w:eastAsia="仿宋"/>
          <w:sz w:val="24"/>
          <w:cs/>
          <w:lang w:val="mn-MN" w:eastAsia="zh-CN"/>
        </w:rPr>
        <w:t xml:space="preserve"> хоногын</w:t>
      </w:r>
      <w:r>
        <w:rPr>
          <w:rFonts w:eastAsia="仿宋"/>
          <w:sz w:val="24"/>
          <w:lang w:val="mn-MN"/>
        </w:rPr>
        <w:t xml:space="preserve"> өмнө тогтсон байна. Комиссын гишүүдийн нэрс тендер нээхээс өмнө нууц байх ёстой. </w:t>
      </w:r>
    </w:p>
    <w:p w14:paraId="7C742CDB">
      <w:pPr>
        <w:spacing w:after="0" w:line="240" w:lineRule="auto"/>
        <w:rPr>
          <w:rFonts w:eastAsia="仿宋"/>
          <w:sz w:val="24"/>
          <w:lang w:val="mn-MN"/>
        </w:rPr>
      </w:pPr>
      <w:r>
        <w:rPr>
          <w:rFonts w:eastAsia="仿宋"/>
          <w:sz w:val="24"/>
          <w:lang w:val="mn-MN"/>
        </w:rPr>
        <w:t xml:space="preserve">3. Тендерийн нээлтийн дараалал болон журам </w:t>
      </w:r>
    </w:p>
    <w:p w14:paraId="4C57A9C0">
      <w:pPr>
        <w:spacing w:after="0" w:line="240" w:lineRule="auto"/>
        <w:rPr>
          <w:rFonts w:hint="default" w:ascii="Times New Roman" w:hAnsi="Times New Roman" w:eastAsia="仿宋" w:cs="Times New Roman"/>
          <w:sz w:val="24"/>
          <w:lang w:val="mn-MN"/>
        </w:rPr>
      </w:pPr>
      <w:r>
        <w:rPr>
          <w:rFonts w:hint="default" w:ascii="Times New Roman" w:hAnsi="Times New Roman" w:eastAsia="仿宋" w:cs="Times New Roman"/>
          <w:sz w:val="24"/>
        </w:rPr>
        <w:t>（1）</w:t>
      </w:r>
      <w:r>
        <w:rPr>
          <w:rFonts w:hint="default" w:ascii="Times New Roman" w:hAnsi="Times New Roman" w:eastAsia="仿宋" w:cs="Times New Roman"/>
          <w:sz w:val="24"/>
          <w:lang w:val="mn-MN"/>
        </w:rPr>
        <w:t>Тендерийн зарлагч 2026 оны 02</w:t>
      </w:r>
      <w:r>
        <w:rPr>
          <w:rFonts w:hint="eastAsia" w:eastAsia="仿宋" w:cs="Times New Roman"/>
          <w:sz w:val="24"/>
          <w:lang w:val="en-US" w:eastAsia="zh-CN"/>
        </w:rPr>
        <w:t xml:space="preserve"> </w:t>
      </w:r>
      <w:r>
        <w:rPr>
          <w:rFonts w:hint="default" w:ascii="Times New Roman" w:hAnsi="Times New Roman" w:eastAsia="仿宋" w:cs="Times New Roman"/>
          <w:sz w:val="24"/>
          <w:lang w:val="mn-MN"/>
        </w:rPr>
        <w:t>сар</w:t>
      </w:r>
      <w:r>
        <w:rPr>
          <w:rFonts w:hint="eastAsia" w:eastAsia="仿宋" w:cs="Times New Roman"/>
          <w:sz w:val="24"/>
          <w:lang w:val="en-US" w:eastAsia="zh-CN"/>
        </w:rPr>
        <w:t xml:space="preserve"> </w:t>
      </w:r>
      <w:r>
        <w:rPr>
          <w:rFonts w:hint="eastAsia" w:eastAsia="仿宋" w:cs="Times New Roman"/>
          <w:sz w:val="24"/>
          <w:cs w:val="0"/>
          <w:lang w:val="en-US" w:eastAsia="zh-CN"/>
        </w:rPr>
        <w:t>23</w:t>
      </w:r>
      <w:r>
        <w:rPr>
          <w:rFonts w:hint="default" w:ascii="Times New Roman" w:hAnsi="Times New Roman" w:eastAsia="仿宋" w:cs="Times New Roman"/>
          <w:sz w:val="24"/>
          <w:lang w:val="mn-MN"/>
        </w:rPr>
        <w:t>-ны  өдрийн 10:00 AM цагт "Шин</w:t>
      </w:r>
      <w:r>
        <w:rPr>
          <w:rFonts w:hint="default" w:eastAsia="仿宋" w:cs="Times New Roman"/>
          <w:sz w:val="24"/>
          <w:cs/>
          <w:lang w:val="mn-MN"/>
        </w:rPr>
        <w:t>ь</w:t>
      </w:r>
      <w:r>
        <w:rPr>
          <w:rFonts w:hint="default" w:ascii="Times New Roman" w:hAnsi="Times New Roman" w:eastAsia="仿宋" w:cs="Times New Roman"/>
          <w:sz w:val="24"/>
          <w:lang w:val="mn-MN"/>
        </w:rPr>
        <w:t xml:space="preserve"> Шин</w:t>
      </w:r>
      <w:r>
        <w:rPr>
          <w:rFonts w:hint="default" w:eastAsia="仿宋" w:cs="Times New Roman"/>
          <w:sz w:val="24"/>
          <w:cs/>
          <w:lang w:val="mn-MN"/>
        </w:rPr>
        <w:t>ь</w:t>
      </w:r>
      <w:r>
        <w:rPr>
          <w:rFonts w:hint="default" w:ascii="Times New Roman" w:hAnsi="Times New Roman" w:eastAsia="仿宋" w:cs="Times New Roman"/>
          <w:sz w:val="24"/>
          <w:lang w:val="mn-MN"/>
        </w:rPr>
        <w:t>" компанийн  тендерийн санал нээлтийн үйл ажиллагааг нээлттэй явуулна. Тендер өргөдөл гаргагчийн хуулийн төлөөлөгч эсвэл эрх бүхий төлөөлөгч нээлтийн үйл ажиллагаанд ирж хувьд оролцох, эсвэл видео холбоогоор оролцох шаардлагатай. Үйл ажиллагаанд оролцоогүй тохиолдолд оролцооноо татсан гэж үзнэ.</w:t>
      </w:r>
    </w:p>
    <w:p w14:paraId="1955A5F1">
      <w:pPr>
        <w:spacing w:after="0" w:line="240" w:lineRule="auto"/>
        <w:rPr>
          <w:rFonts w:eastAsia="仿宋"/>
          <w:sz w:val="24"/>
          <w:lang w:val="mn-MN"/>
        </w:rPr>
      </w:pPr>
      <w:r>
        <w:rPr>
          <w:rFonts w:eastAsia="仿宋"/>
          <w:sz w:val="24"/>
        </w:rPr>
        <w:t>（2）</w:t>
      </w:r>
      <w:r>
        <w:rPr>
          <w:rFonts w:eastAsia="仿宋"/>
          <w:sz w:val="24"/>
          <w:lang w:val="mn-MN"/>
        </w:rPr>
        <w:t>Тендерт оролцогч болон тендер зарлагч байгууллагын төлөөлөгч тендерийн материалын битүүмжлэгдсэн байдлыг шалгана.</w:t>
      </w:r>
    </w:p>
    <w:p w14:paraId="6A9788E6">
      <w:pPr>
        <w:spacing w:after="0" w:line="240" w:lineRule="auto"/>
        <w:rPr>
          <w:rFonts w:eastAsia="仿宋"/>
          <w:sz w:val="24"/>
          <w:lang w:val="mn-MN"/>
        </w:rPr>
      </w:pPr>
      <w:r>
        <w:rPr>
          <w:rFonts w:eastAsia="仿宋"/>
          <w:sz w:val="24"/>
        </w:rPr>
        <w:t>（3）</w:t>
      </w:r>
      <w:r>
        <w:rPr>
          <w:rFonts w:eastAsia="仿宋"/>
          <w:sz w:val="24"/>
          <w:lang w:val="mn-MN"/>
        </w:rPr>
        <w:t xml:space="preserve">Битүүмжлэлийг шалгасны дараа холбогдох ажилтан тендерийн материалыг хүргүүлсэн хугацааны дарааллаар олонд нээлттэйгээр тендерт оролцогчийн нэр, үнийн санал болон тендерийн материалын чухал агуулгыг уншиж танилцуулна. Тендерт оролцогч гарын үсэг зурж баталгаажуулна. </w:t>
      </w:r>
    </w:p>
    <w:p w14:paraId="4883A64C">
      <w:pPr>
        <w:spacing w:after="0" w:line="240" w:lineRule="auto"/>
        <w:rPr>
          <w:rFonts w:eastAsia="仿宋"/>
          <w:sz w:val="24"/>
          <w:lang w:val="mn-MN"/>
        </w:rPr>
      </w:pPr>
      <w:r>
        <w:rPr>
          <w:rFonts w:eastAsia="仿宋"/>
          <w:sz w:val="24"/>
        </w:rPr>
        <w:t>（</w:t>
      </w:r>
      <w:r>
        <w:rPr>
          <w:rFonts w:eastAsia="仿宋"/>
          <w:sz w:val="24"/>
          <w:lang w:val="mn-MN"/>
        </w:rPr>
        <w:t>4</w:t>
      </w:r>
      <w:r>
        <w:rPr>
          <w:rFonts w:eastAsia="仿宋"/>
          <w:sz w:val="24"/>
        </w:rPr>
        <w:t>）</w:t>
      </w:r>
      <w:r>
        <w:rPr>
          <w:rFonts w:eastAsia="仿宋"/>
          <w:sz w:val="24"/>
          <w:lang w:val="mn-MN"/>
        </w:rPr>
        <w:t xml:space="preserve">Тендерийн нээлтийн хурал дуусна. </w:t>
      </w:r>
    </w:p>
    <w:p w14:paraId="2A554D8F">
      <w:pPr>
        <w:spacing w:after="0" w:line="240" w:lineRule="auto"/>
        <w:rPr>
          <w:rFonts w:eastAsia="仿宋"/>
          <w:sz w:val="24"/>
          <w:lang w:val="mn-MN"/>
        </w:rPr>
      </w:pPr>
      <w:r>
        <w:rPr>
          <w:rFonts w:eastAsia="仿宋"/>
          <w:sz w:val="24"/>
        </w:rPr>
        <w:t>（</w:t>
      </w:r>
      <w:r>
        <w:rPr>
          <w:rFonts w:eastAsia="仿宋"/>
          <w:sz w:val="24"/>
          <w:lang w:val="mn-MN"/>
        </w:rPr>
        <w:t>5</w:t>
      </w:r>
      <w:r>
        <w:rPr>
          <w:rFonts w:eastAsia="仿宋"/>
          <w:sz w:val="24"/>
        </w:rPr>
        <w:t>）</w:t>
      </w:r>
      <w:r>
        <w:rPr>
          <w:rFonts w:eastAsia="仿宋"/>
          <w:sz w:val="24"/>
          <w:lang w:val="mn-MN"/>
        </w:rPr>
        <w:t>Тендерийн нээлтийн дараа тендерийн үнэлгээний ажил эхэлнэ. Үнэлгээний ажлыг нууц байдлаар зохион байгуулна.</w:t>
      </w:r>
    </w:p>
    <w:p w14:paraId="28DA6332">
      <w:pPr>
        <w:spacing w:after="0" w:line="240" w:lineRule="auto"/>
        <w:rPr>
          <w:rFonts w:eastAsia="仿宋"/>
          <w:sz w:val="24"/>
          <w:lang w:val="mn-MN"/>
        </w:rPr>
      </w:pPr>
      <w:r>
        <w:rPr>
          <w:rFonts w:eastAsia="仿宋"/>
          <w:sz w:val="24"/>
          <w:lang w:val="mn-MN"/>
        </w:rPr>
        <w:t>4. Тендерийн нээлт болон үнэлгээний явцад Хяналтын хэлтсээс хяналт тавина.</w:t>
      </w:r>
    </w:p>
    <w:p w14:paraId="673FE306">
      <w:pPr>
        <w:spacing w:after="0" w:line="240" w:lineRule="auto"/>
        <w:rPr>
          <w:rFonts w:eastAsia="仿宋"/>
          <w:sz w:val="24"/>
          <w:lang w:val="mn-MN"/>
        </w:rPr>
      </w:pPr>
    </w:p>
    <w:p w14:paraId="15FF8B0C">
      <w:pPr>
        <w:spacing w:after="0" w:line="240" w:lineRule="auto"/>
        <w:rPr>
          <w:rFonts w:eastAsia="仿宋"/>
          <w:b/>
          <w:sz w:val="24"/>
          <w:lang w:val="mn-MN"/>
        </w:rPr>
      </w:pPr>
      <w:r>
        <w:rPr>
          <w:rFonts w:eastAsia="仿宋"/>
          <w:b/>
          <w:sz w:val="24"/>
          <w:lang w:val="mn-MN"/>
        </w:rPr>
        <w:t>23. Үнэлгээний явц дахь нууцлал</w:t>
      </w:r>
    </w:p>
    <w:p w14:paraId="0CD21D77">
      <w:pPr>
        <w:spacing w:after="0" w:line="240" w:lineRule="auto"/>
        <w:rPr>
          <w:rFonts w:eastAsia="仿宋"/>
          <w:sz w:val="24"/>
          <w:lang w:val="mn-MN"/>
        </w:rPr>
      </w:pPr>
      <w:r>
        <w:rPr>
          <w:rFonts w:eastAsia="仿宋"/>
          <w:sz w:val="24"/>
          <w:lang w:val="mn-MN"/>
        </w:rPr>
        <w:t>23.1 Тендерийн нээлтийн дараа тендерт шалгарсан оролцогчтой гэрээ байгуулах хүртэл тендерийн материалын хяналт шалгалт, тодруулга, үнэлгээ, харьцуулсан холбогдох материал болон шалгарсан оролцогчийн нөхцөл байдал мөн үнэлгээтэй холбоотой аливаа асуудлууд маш нууц байна.</w:t>
      </w:r>
    </w:p>
    <w:p w14:paraId="6696BA3B">
      <w:pPr>
        <w:spacing w:after="0" w:line="240" w:lineRule="auto"/>
        <w:rPr>
          <w:rFonts w:eastAsia="仿宋"/>
          <w:sz w:val="24"/>
          <w:lang w:val="mn-MN"/>
        </w:rPr>
      </w:pPr>
      <w:r>
        <w:rPr>
          <w:rFonts w:eastAsia="仿宋"/>
          <w:sz w:val="24"/>
          <w:lang w:val="mn-MN"/>
        </w:rPr>
        <w:t>23.2 Тендерийн баримт бичгийг шалгах, харьцуулах, шалгарсан оролцогчийг зөвлөх, гэрээ байгуулах явцад тендерт оролцогч нь тендер зарлагч болон тендерийн үнэлгээний комисст нөлөөлөх аливаа үйлдэл гаргавал тендерээс татгалзахад хүрнэ.</w:t>
      </w:r>
    </w:p>
    <w:p w14:paraId="7FE25EA3">
      <w:pPr>
        <w:spacing w:after="0" w:line="240" w:lineRule="auto"/>
        <w:rPr>
          <w:rFonts w:eastAsia="仿宋"/>
          <w:sz w:val="24"/>
          <w:lang w:val="mn-MN"/>
        </w:rPr>
      </w:pPr>
      <w:r>
        <w:rPr>
          <w:rFonts w:eastAsia="仿宋"/>
          <w:sz w:val="24"/>
          <w:lang w:val="mn-MN"/>
        </w:rPr>
        <w:t xml:space="preserve">23.3 Тендерт ялсан оролцогчийг тодруулсны дараа тендер зарлагч нь тендерийн үнэлгээний үйл явц болон тендерт ялаагүй шалтгааны талаар ямар нэгэн тайлбар өгөхгүй. Тендерт шалгараагүй оролцогч тендерийн үнэлгээний үйл явц, материалын талаар тендерийн үнэлгээний комиссын гишүүд болон холбогдох бусад ажилтнуудаас мэдээлэл авахыг хориглоно. </w:t>
      </w:r>
    </w:p>
    <w:p w14:paraId="7C38ADD2">
      <w:pPr>
        <w:spacing w:after="0" w:line="240" w:lineRule="auto"/>
        <w:rPr>
          <w:rFonts w:eastAsia="仿宋"/>
          <w:sz w:val="24"/>
          <w:lang w:val="mn-MN"/>
        </w:rPr>
      </w:pPr>
    </w:p>
    <w:p w14:paraId="14B3DACA">
      <w:pPr>
        <w:spacing w:after="0" w:line="240" w:lineRule="auto"/>
        <w:rPr>
          <w:rFonts w:eastAsia="仿宋"/>
          <w:b/>
          <w:sz w:val="24"/>
          <w:lang w:val="mn-MN"/>
        </w:rPr>
      </w:pPr>
      <w:r>
        <w:rPr>
          <w:rFonts w:eastAsia="仿宋"/>
          <w:b/>
          <w:sz w:val="24"/>
          <w:lang w:val="mn-MN"/>
        </w:rPr>
        <w:t>24. Тендерийн баримт бичгийн тодруулга</w:t>
      </w:r>
    </w:p>
    <w:p w14:paraId="4B2C49F4">
      <w:pPr>
        <w:spacing w:after="0" w:line="240" w:lineRule="auto"/>
        <w:ind w:firstLine="420"/>
        <w:rPr>
          <w:rFonts w:hint="default" w:ascii="Times New Roman" w:hAnsi="Times New Roman" w:eastAsia="仿宋" w:cs="Times New Roman"/>
          <w:sz w:val="24"/>
          <w:lang w:val="mn-MN"/>
        </w:rPr>
      </w:pPr>
      <w:r>
        <w:rPr>
          <w:rFonts w:eastAsia="仿宋"/>
          <w:sz w:val="24"/>
          <w:lang w:val="mn-MN"/>
        </w:rPr>
        <w:t>Тендерийн баримт бичгийг хянах, үнэлэх, харьцуулахад баримт бичгийн тодорхой бус ойлгомжгүй агуулгын талаар шаардлагатай тодруулга, тайлбарыг тендерийн үнэлгээний комисс тендерт оролцогчоос бичгээр шаардаж болно. Тендерт оролцогч тодоруулга тайлбарыг бичгээр өгөх боловч тендерийн баримт бичгийн хамрах хүрээнээс хэтрэх буюу тендерийн баримт бичгийн үндсэн агуулгыг өөрчлөхгүй байх. Энэхүү мэдэгдлийн заалтын дагуу тендерийн үнэлгээний комисс үнэлгээний явцад илэрсэн тооцооны алдааг засаж залруулсаныг энэ жагсаалтанд оруулахгүй.</w:t>
      </w:r>
      <w:r>
        <w:rPr>
          <w:rFonts w:hint="default" w:ascii="Times New Roman" w:hAnsi="Times New Roman" w:eastAsia="仿宋" w:cs="Times New Roman"/>
          <w:sz w:val="24"/>
          <w:lang w:val="mn-MN"/>
        </w:rPr>
        <w:t>Тодруулга бичиг баримтыг нэг цагийн дотор дуусгах шаардлагатай.</w:t>
      </w:r>
    </w:p>
    <w:p w14:paraId="079CEEAC">
      <w:pPr>
        <w:spacing w:after="0" w:line="240" w:lineRule="auto"/>
        <w:rPr>
          <w:rFonts w:eastAsia="仿宋"/>
          <w:b/>
          <w:sz w:val="24"/>
          <w:lang w:val="mn-MN"/>
        </w:rPr>
      </w:pPr>
      <w:r>
        <w:rPr>
          <w:rFonts w:eastAsia="仿宋"/>
          <w:b/>
          <w:sz w:val="24"/>
          <w:lang w:val="mn-MN"/>
        </w:rPr>
        <w:t>25. Тендерийн баримт бичгийг анхан шатны үнэлгээ</w:t>
      </w:r>
    </w:p>
    <w:p w14:paraId="1ABE9627">
      <w:pPr>
        <w:spacing w:after="0" w:line="240" w:lineRule="auto"/>
        <w:rPr>
          <w:rFonts w:eastAsia="仿宋"/>
          <w:sz w:val="24"/>
          <w:lang w:val="mn-MN"/>
        </w:rPr>
      </w:pPr>
      <w:r>
        <w:rPr>
          <w:rFonts w:eastAsia="仿宋"/>
          <w:sz w:val="24"/>
          <w:lang w:val="mn-MN"/>
        </w:rPr>
        <w:t xml:space="preserve">25.1 Тендерийг үнэлэхдээ үнэлгээний комисс эхлээд тендерийн баримт бичиг бүр шаардлага хангасан эсэхийг шалгана. Тендерийн баримт бичиг нь тендерийн баримт бичигт заасан бүх үндсэн нөхцөл, шаардлагуудтай нийцэж, мэдэгдэхүйц ялгаа гарахгүй байх, эсвэл гэрээнд тохиролцсон тендер зарлагчийн эрх ашиг болон оролцогчийн эрх, үүргийг их хэмжээгээр хязгаарлаж зөрчих зэрэг мэдэгдэхүйц ялгаа, тайлбарыг засч залруулах нь шаардлагыг хангасан бусад тендерт оролцогчдын өрсөлдөх чадварт шударга бусаар нөлөөлөх болно. </w:t>
      </w:r>
    </w:p>
    <w:p w14:paraId="2E8B5412">
      <w:pPr>
        <w:spacing w:after="0" w:line="240" w:lineRule="auto"/>
        <w:rPr>
          <w:rFonts w:eastAsia="仿宋"/>
          <w:sz w:val="24"/>
          <w:lang w:val="mn-MN"/>
        </w:rPr>
      </w:pPr>
      <w:r>
        <w:rPr>
          <w:rFonts w:eastAsia="仿宋"/>
          <w:sz w:val="24"/>
          <w:lang w:val="mn-MN"/>
        </w:rPr>
        <w:t xml:space="preserve">25.2 Хэрэв тендерт оролцогчийн баримт бичиг нь тендерийн баримт бичигт заасан шаардлагын дагуу дорвитой хариу өгөөгүй бол тендерийн үнэлгээний комисс түүнийг буцаах бөгөөд тендерт оролцогчийн зассан, шаардлагад нийцээгүй тендерийг хүлээн зөвшөөрөхгүй. </w:t>
      </w:r>
    </w:p>
    <w:p w14:paraId="0C7E14B2">
      <w:pPr>
        <w:spacing w:after="0" w:line="240" w:lineRule="auto"/>
        <w:rPr>
          <w:rFonts w:eastAsia="仿宋"/>
          <w:sz w:val="24"/>
          <w:lang w:val="mn-MN"/>
        </w:rPr>
      </w:pPr>
    </w:p>
    <w:p w14:paraId="5A4BE9DE">
      <w:pPr>
        <w:spacing w:after="0" w:line="240" w:lineRule="auto"/>
        <w:rPr>
          <w:rFonts w:eastAsia="仿宋"/>
          <w:b/>
          <w:sz w:val="24"/>
          <w:lang w:val="mn-MN"/>
        </w:rPr>
      </w:pPr>
      <w:r>
        <w:rPr>
          <w:rFonts w:eastAsia="仿宋"/>
          <w:b/>
          <w:sz w:val="24"/>
          <w:lang w:val="mn-MN"/>
        </w:rPr>
        <w:t>26. Тендерийн үнийн саналын тооцооллын алдааг засах</w:t>
      </w:r>
    </w:p>
    <w:p w14:paraId="6D27D97E">
      <w:pPr>
        <w:spacing w:after="0" w:line="240" w:lineRule="auto"/>
        <w:rPr>
          <w:rFonts w:eastAsia="仿宋"/>
          <w:sz w:val="24"/>
          <w:lang w:val="mn-MN"/>
        </w:rPr>
      </w:pPr>
      <w:r>
        <w:rPr>
          <w:rFonts w:eastAsia="仿宋"/>
          <w:sz w:val="24"/>
          <w:lang w:val="mn-MN"/>
        </w:rPr>
        <w:t>26.1 Тендерийн үнэлгээний комисс нь тендерийн баримт бичигт заасан шаардлагад бодитой нийцэж байгаа тендерийн баримт бичгийн тооцоолол, илэрхийлэлд алдаа байгаа эсэхийг шалгана. Алдааг дараах байдлаар засаж залруулна.</w:t>
      </w:r>
    </w:p>
    <w:p w14:paraId="7C301D98">
      <w:pPr>
        <w:spacing w:after="0" w:line="240" w:lineRule="auto"/>
        <w:rPr>
          <w:rFonts w:eastAsia="仿宋"/>
          <w:sz w:val="24"/>
          <w:lang w:val="mn-MN"/>
        </w:rPr>
      </w:pPr>
      <w:r>
        <w:rPr>
          <w:rFonts w:eastAsia="仿宋"/>
          <w:sz w:val="24"/>
          <w:lang w:val="mn-MN"/>
        </w:rPr>
        <w:t>26.1.1 Хэрэвээ тоогоор бичсэн үнийн дүн болон үсгээр бичсэн үнийн дүн зөрүүтэй байвал үсгээр бичсэн үнийн дүнг баримтлана.</w:t>
      </w:r>
    </w:p>
    <w:p w14:paraId="42BDE160">
      <w:pPr>
        <w:spacing w:after="0" w:line="240" w:lineRule="auto"/>
        <w:rPr>
          <w:rFonts w:eastAsia="仿宋"/>
          <w:sz w:val="24"/>
          <w:lang w:val="mn-MN"/>
        </w:rPr>
      </w:pPr>
      <w:r>
        <w:rPr>
          <w:rFonts w:eastAsia="仿宋"/>
          <w:sz w:val="24"/>
          <w:lang w:val="mn-MN"/>
        </w:rPr>
        <w:t xml:space="preserve">26.1.2 Нэгж үнэ болон тооны үржвэр нь нийт үнэтэй зөрж байвал тендерийн үнэлгээний комисс нэгж үнийн аравтын бутархай илт алдаатай тохиолдолд нийт үнийн  дүнг баримтлаж, нэгж үнийг засна. </w:t>
      </w:r>
    </w:p>
    <w:p w14:paraId="6FDA3378">
      <w:pPr>
        <w:spacing w:after="0" w:line="240" w:lineRule="auto"/>
        <w:rPr>
          <w:rFonts w:eastAsia="仿宋"/>
          <w:sz w:val="24"/>
          <w:lang w:val="mn-MN"/>
        </w:rPr>
      </w:pPr>
      <w:r>
        <w:rPr>
          <w:rFonts w:eastAsia="仿宋"/>
          <w:sz w:val="24"/>
          <w:lang w:val="mn-MN"/>
        </w:rPr>
        <w:t xml:space="preserve">26.2 Алдааг засах зарчим болон тохируулах аргаар засаж заларуулсан тендерийн баримт бичгийн үнийн саналыг тендерт оролцогч зөвшөөрсний дараа зассан тендерийн үнийг тендерт оролцогч дагана. Хэрэв тендерт оролцогч зассан үнийг хүлээн зөвшөөрөхгүй бол тендерээс татгалзах ба тендерийн үнэлгээний явцад нөлөөлөхгүй. </w:t>
      </w:r>
    </w:p>
    <w:p w14:paraId="081FFB5A">
      <w:pPr>
        <w:spacing w:after="0" w:line="240" w:lineRule="auto"/>
        <w:rPr>
          <w:rFonts w:eastAsia="仿宋"/>
          <w:sz w:val="24"/>
          <w:lang w:val="mn-MN"/>
        </w:rPr>
      </w:pPr>
      <w:r>
        <w:rPr>
          <w:rFonts w:eastAsia="仿宋"/>
          <w:sz w:val="24"/>
          <w:lang w:val="mn-MN"/>
        </w:rPr>
        <w:t xml:space="preserve"> </w:t>
      </w:r>
    </w:p>
    <w:p w14:paraId="2B465518">
      <w:pPr>
        <w:spacing w:after="0" w:line="240" w:lineRule="auto"/>
        <w:rPr>
          <w:rFonts w:eastAsia="仿宋"/>
          <w:b/>
          <w:sz w:val="24"/>
          <w:lang w:val="mn-MN"/>
        </w:rPr>
      </w:pPr>
      <w:r>
        <w:rPr>
          <w:rFonts w:eastAsia="仿宋"/>
          <w:b/>
          <w:sz w:val="24"/>
          <w:lang w:val="mn-MN"/>
        </w:rPr>
        <w:t>27. Тендерийн баримт бичгийг хянах, харьцуулах болон татгалзах</w:t>
      </w:r>
    </w:p>
    <w:p w14:paraId="3A5A6B68">
      <w:pPr>
        <w:spacing w:after="0" w:line="240" w:lineRule="auto"/>
        <w:rPr>
          <w:rFonts w:eastAsia="仿宋"/>
          <w:sz w:val="24"/>
          <w:lang w:val="mn-MN"/>
        </w:rPr>
      </w:pPr>
      <w:r>
        <w:rPr>
          <w:rFonts w:eastAsia="仿宋"/>
          <w:sz w:val="24"/>
          <w:lang w:val="mn-MN"/>
        </w:rPr>
        <w:t>27.1 Тендерийн үнэлгээний  комисс нь зөвхөн тендерийн баримт бичигт заасан шаардлагыг хангасан тендерийн баримт бичгийг энэхүү зааврын дагуу үнэлж, харьцуулна.</w:t>
      </w:r>
    </w:p>
    <w:p w14:paraId="124274EE">
      <w:pPr>
        <w:spacing w:after="0" w:line="240" w:lineRule="auto"/>
        <w:rPr>
          <w:rFonts w:eastAsia="仿宋"/>
          <w:sz w:val="24"/>
          <w:lang w:val="mn-MN"/>
        </w:rPr>
      </w:pPr>
      <w:r>
        <w:rPr>
          <w:rFonts w:eastAsia="仿宋"/>
          <w:sz w:val="24"/>
          <w:lang w:val="mn-MN"/>
        </w:rPr>
        <w:t>27.2 Үнэлгээг хянах явцад тендерийн үнэлгээний комисс тендерт оролцогчоос тендерийн баримт бичигт тодорхой бус агуулгатай зүйлийг бичгээр тайлбар өгөх, холбогдох материалыг бүрдүүлэхийг бичгээр шаардаж болно.</w:t>
      </w:r>
    </w:p>
    <w:p w14:paraId="6959E11A">
      <w:pPr>
        <w:spacing w:after="0" w:line="240" w:lineRule="auto"/>
        <w:rPr>
          <w:rFonts w:eastAsia="仿宋"/>
          <w:sz w:val="24"/>
          <w:lang w:val="mn-MN"/>
        </w:rPr>
      </w:pPr>
      <w:r>
        <w:rPr>
          <w:rFonts w:eastAsia="仿宋"/>
          <w:sz w:val="24"/>
          <w:lang w:val="mn-MN"/>
        </w:rPr>
        <w:t xml:space="preserve">27.3 Тендерийн үнэлгээний комисс нь тендерийн баримт бичгийн зааврын өмнө хавсралтын </w:t>
      </w:r>
      <w:r>
        <w:rPr>
          <w:rFonts w:hint="eastAsia" w:eastAsia="仿宋"/>
          <w:sz w:val="24"/>
          <w:lang w:val="en-US" w:eastAsia="zh-CN"/>
        </w:rPr>
        <w:t>28</w:t>
      </w:r>
      <w:r>
        <w:rPr>
          <w:rFonts w:eastAsia="仿宋"/>
          <w:sz w:val="24"/>
          <w:lang w:val="mn-MN"/>
        </w:rPr>
        <w:t xml:space="preserve"> дугаар зүйлд заасан тендерийн үнэлгээний стандарт, аргачлалыг үндэслэн тендерийн баримт бичгийг хянан харьцуулж, тендерийн үнэлгээний тайлан болон шалгарсан оролцогчдын дарааллыг тендерт оролцогчид бичгээр гаргаж өгнө. (хамгийн эхний хоёр )</w:t>
      </w:r>
    </w:p>
    <w:p w14:paraId="0610CA11">
      <w:pPr>
        <w:spacing w:after="0" w:line="240" w:lineRule="auto"/>
        <w:rPr>
          <w:rFonts w:eastAsia="仿宋"/>
          <w:b/>
          <w:sz w:val="24"/>
          <w:lang w:val="mn-MN"/>
        </w:rPr>
      </w:pPr>
      <w:r>
        <w:rPr>
          <w:rFonts w:eastAsia="仿宋"/>
          <w:b/>
          <w:sz w:val="24"/>
          <w:lang w:val="mn-MN"/>
        </w:rPr>
        <w:t xml:space="preserve">28. Тендерийн үнэлгээний арга: </w:t>
      </w:r>
    </w:p>
    <w:p w14:paraId="08383C8A">
      <w:pPr>
        <w:spacing w:after="0" w:line="240" w:lineRule="auto"/>
        <w:rPr>
          <w:rFonts w:eastAsia="仿宋"/>
          <w:sz w:val="24"/>
          <w:lang w:val="mn-MN"/>
        </w:rPr>
      </w:pPr>
    </w:p>
    <w:p w14:paraId="34DA9650">
      <w:pPr>
        <w:spacing w:after="0" w:line="240" w:lineRule="auto"/>
        <w:rPr>
          <w:rFonts w:eastAsia="仿宋"/>
          <w:b/>
          <w:sz w:val="24"/>
          <w:lang w:val="mn-MN"/>
        </w:rPr>
      </w:pPr>
      <w:r>
        <w:rPr>
          <w:rFonts w:eastAsia="仿宋"/>
          <w:b/>
          <w:sz w:val="24"/>
          <w:lang w:val="mn-MN"/>
        </w:rPr>
        <w:t>Нэг. Анхан шатны үнэлгээг хянах</w:t>
      </w:r>
    </w:p>
    <w:p w14:paraId="3F6B7A1E">
      <w:pPr>
        <w:pStyle w:val="47"/>
        <w:numPr>
          <w:ilvl w:val="0"/>
          <w:numId w:val="4"/>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Тендерийг нээх үед тендерийн баримт бичигт дараах асуудлууд илэрвэл тус баримт бичгийг хүчингүйд тооцож үнэлгээнд оруулахгүй: </w:t>
      </w:r>
    </w:p>
    <w:p w14:paraId="05D0504E">
      <w:pPr>
        <w:pStyle w:val="47"/>
        <w:numPr>
          <w:ilvl w:val="0"/>
          <w:numId w:val="5"/>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Тендерийн урилга, баримт бичгийн хавсралт, үнийн саналд аж ахуй нэгжийн тамга дарагдаагүй эсвэл аж ахуй нэгжийн хуулийн этгээдийн итгэмжилсэн төлөөлөгч хууль бус итгэмжлэхтэй</w:t>
      </w:r>
      <w:r>
        <w:rPr>
          <w:rFonts w:ascii="Times New Roman" w:hAnsi="Times New Roman" w:eastAsia="仿宋" w:cs="Times New Roman"/>
          <w:sz w:val="24"/>
          <w:szCs w:val="24"/>
        </w:rPr>
        <w:t>（</w:t>
      </w:r>
      <w:r>
        <w:rPr>
          <w:rFonts w:ascii="Times New Roman" w:hAnsi="Times New Roman" w:eastAsia="仿宋" w:cs="Times New Roman"/>
          <w:sz w:val="24"/>
          <w:szCs w:val="24"/>
          <w:lang w:val="mn-MN"/>
        </w:rPr>
        <w:t xml:space="preserve">Тендерийн </w:t>
      </w:r>
      <w:r>
        <w:rPr>
          <w:rFonts w:ascii="Times New Roman" w:hAnsi="Times New Roman" w:eastAsia="仿宋" w:cs="Times New Roman"/>
          <w:sz w:val="24"/>
          <w:szCs w:val="24"/>
        </w:rPr>
        <w:t>баримт бичигт эх хувийг оруулах ёстой, эс тэгвээс тендерийг хүчингүй болгоно.）；</w:t>
      </w:r>
    </w:p>
    <w:p w14:paraId="27A1CC6D">
      <w:pPr>
        <w:pStyle w:val="47"/>
        <w:numPr>
          <w:ilvl w:val="0"/>
          <w:numId w:val="5"/>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Хоцорч хүргэсэн；</w:t>
      </w:r>
    </w:p>
    <w:p w14:paraId="4EB01320">
      <w:pPr>
        <w:pStyle w:val="47"/>
        <w:numPr>
          <w:ilvl w:val="0"/>
          <w:numId w:val="5"/>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Тендерийн баримт бичгийн гол агуулгын үсэг тодорхойгүй, таних боломжгүй；</w:t>
      </w:r>
    </w:p>
    <w:p w14:paraId="766BA61A">
      <w:pPr>
        <w:pStyle w:val="47"/>
        <w:numPr>
          <w:ilvl w:val="0"/>
          <w:numId w:val="5"/>
        </w:numPr>
        <w:spacing w:after="0" w:line="240" w:lineRule="auto"/>
        <w:ind w:firstLineChars="0"/>
        <w:rPr>
          <w:rFonts w:hint="default" w:ascii="Times New Roman" w:hAnsi="Times New Roman" w:eastAsia="仿宋" w:cs="Times New Roman"/>
          <w:sz w:val="24"/>
          <w:szCs w:val="24"/>
          <w:lang w:val="mn-MN"/>
        </w:rPr>
      </w:pPr>
      <w:r>
        <w:rPr>
          <w:rFonts w:ascii="Times New Roman" w:hAnsi="Times New Roman" w:eastAsia="仿宋" w:cs="Times New Roman"/>
          <w:sz w:val="24"/>
          <w:szCs w:val="24"/>
          <w:lang w:val="mn-MN"/>
        </w:rPr>
        <w:t>Тендерт оролцогч хуулийн этгээд эсвэл итгэмжлэгдсэн төлөөлөгч тендер нээх сүүлийн хугацаанаас хоцорч ирэх （ иргэний үнэмлэхтэй ирэх ）</w:t>
      </w:r>
      <w:r>
        <w:rPr>
          <w:rFonts w:hint="default" w:ascii="Times New Roman" w:hAnsi="Times New Roman" w:eastAsia="仿宋" w:cs="Times New Roman"/>
          <w:sz w:val="24"/>
          <w:szCs w:val="24"/>
          <w:lang w:val="mn-MN"/>
        </w:rPr>
        <w:t>эсвэл видео холбоогоор оролцох</w:t>
      </w:r>
      <w:r>
        <w:rPr>
          <w:rFonts w:hint="eastAsia" w:ascii="Times New Roman" w:hAnsi="Times New Roman" w:eastAsia="仿宋" w:cs="Times New Roman"/>
          <w:sz w:val="24"/>
          <w:szCs w:val="24"/>
          <w:lang w:val="mn-MN" w:eastAsia="zh-CN"/>
        </w:rPr>
        <w:t>；</w:t>
      </w:r>
    </w:p>
    <w:p w14:paraId="448913DD">
      <w:pPr>
        <w:pStyle w:val="47"/>
        <w:numPr>
          <w:ilvl w:val="0"/>
          <w:numId w:val="5"/>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Холбогдох хууль, дүрэм журам болон тендерийн материалын журмаас бусад  хүчингүй нөхцөлтэй тендерийн баримт бичиг；</w:t>
      </w:r>
    </w:p>
    <w:p w14:paraId="0DE9AA7B">
      <w:pPr>
        <w:pStyle w:val="47"/>
        <w:numPr>
          <w:ilvl w:val="0"/>
          <w:numId w:val="4"/>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Тендерийн үнийн санлын тооцоолол алдаатай бол тендерийн үнэлгээний комисс дараах зарчимаар үнийн саналд засвар оруулах ба зассан үнийн санлыг тендерт оролцогч бичгээр хүлээн зөвшөөрсөний дараа хэрэгжүүлнэ. Тендерт оролцогч үнийн засварыг хүлээн зөвшөөрөхгүй бол үнэлгээний комисс тендерийг татгалзана. </w:t>
      </w:r>
    </w:p>
    <w:p w14:paraId="32BA9008">
      <w:pPr>
        <w:pStyle w:val="47"/>
        <w:numPr>
          <w:ilvl w:val="0"/>
          <w:numId w:val="6"/>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Тендерийн баримт бичгийн үнийн дүнгийн тоогоор бичсэн болон үсгээр бичсэн зөрүүтэй бол үсгээр бичсэнийг баримтална；</w:t>
      </w:r>
    </w:p>
    <w:p w14:paraId="39A762FD">
      <w:pPr>
        <w:pStyle w:val="47"/>
        <w:numPr>
          <w:ilvl w:val="0"/>
          <w:numId w:val="6"/>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Нийт үнийн дүн болон нэгж үнийг үндэслэн гаргасан үнийн дүн зөрүүтэй үед нэгж үнийн дүнд аравтын орноор алдаа гарснаас бусад тохиолдолд нэгж үнийн дүнг баримтлан нийт үнийг засна.</w:t>
      </w:r>
    </w:p>
    <w:p w14:paraId="31D4DE3E">
      <w:pPr>
        <w:pStyle w:val="47"/>
        <w:spacing w:after="0" w:line="240" w:lineRule="auto"/>
        <w:ind w:left="1080" w:firstLine="0" w:firstLineChars="0"/>
        <w:rPr>
          <w:rFonts w:ascii="Times New Roman" w:hAnsi="Times New Roman" w:eastAsia="仿宋" w:cs="Times New Roman"/>
          <w:sz w:val="24"/>
          <w:szCs w:val="24"/>
          <w:lang w:val="mn-MN"/>
        </w:rPr>
      </w:pPr>
    </w:p>
    <w:p w14:paraId="45DB5534">
      <w:pPr>
        <w:spacing w:after="0" w:line="240" w:lineRule="auto"/>
        <w:ind w:left="360"/>
        <w:rPr>
          <w:rFonts w:eastAsia="仿宋"/>
          <w:b/>
          <w:sz w:val="24"/>
          <w:lang w:val="mn-MN"/>
        </w:rPr>
      </w:pPr>
      <w:r>
        <w:rPr>
          <w:rFonts w:eastAsia="仿宋"/>
          <w:b/>
          <w:sz w:val="24"/>
          <w:lang w:val="mn-MN"/>
        </w:rPr>
        <w:t xml:space="preserve">Хоёр. Нарийвчлан үнэлэх </w:t>
      </w:r>
    </w:p>
    <w:p w14:paraId="096A1E52">
      <w:pPr>
        <w:spacing w:after="0" w:line="240" w:lineRule="auto"/>
        <w:ind w:left="360"/>
        <w:rPr>
          <w:rFonts w:eastAsia="仿宋"/>
          <w:sz w:val="24"/>
          <w:lang w:val="mn-MN"/>
        </w:rPr>
      </w:pPr>
      <w:r>
        <w:rPr>
          <w:rFonts w:eastAsia="仿宋"/>
          <w:sz w:val="24"/>
          <w:lang w:val="mn-MN"/>
        </w:rPr>
        <w:t xml:space="preserve">Энэ удаагийн тендерт“ Иж бүрэн үнэлгээний арга”-ыг авч хэрэгжүүлж байгаа бөгөөд тендерийн баримт бичигт заасны дагуу хатуу үнэлнэ. </w:t>
      </w:r>
    </w:p>
    <w:p w14:paraId="6268530B">
      <w:pPr>
        <w:pStyle w:val="47"/>
        <w:numPr>
          <w:ilvl w:val="0"/>
          <w:numId w:val="7"/>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Энэхүү тендер нь тендерийн хязгаарласан үнэтэй бөгөөд тендерийн хязгаарласан үнийг Хавсралт 1-3-т үзүүлэв. Тендерийн үнэ нь тендерийн хязгаарласан  үнээс өндөр байвал түүнийг татгалзаж, хасагдсан тендер гэж үзнэ.</w:t>
      </w:r>
    </w:p>
    <w:p w14:paraId="27CDE6B7">
      <w:pPr>
        <w:pStyle w:val="47"/>
        <w:numPr>
          <w:ilvl w:val="0"/>
          <w:numId w:val="7"/>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Тендерийн үнэлгээний комисс нь зөвхөн тендерийн баримт бичигт заасан шаардлагыг хангасан, хяналт шалгалтанд тэнцсэн хүчинтэй тендерийн баримт бичигт бизнесийн үнэлгээ, иж бүрэн үнэлгээ хийнэ.</w:t>
      </w:r>
    </w:p>
    <w:p w14:paraId="670D9249">
      <w:pPr>
        <w:pStyle w:val="47"/>
        <w:spacing w:after="0" w:line="240" w:lineRule="auto"/>
        <w:ind w:left="720" w:firstLine="0" w:firstLineChars="0"/>
        <w:rPr>
          <w:rFonts w:ascii="Times New Roman" w:hAnsi="Times New Roman" w:eastAsia="仿宋" w:cs="Times New Roman"/>
          <w:sz w:val="24"/>
          <w:szCs w:val="24"/>
          <w:lang w:val="mn-MN"/>
        </w:rPr>
      </w:pPr>
    </w:p>
    <w:p w14:paraId="40003799">
      <w:pPr>
        <w:spacing w:after="0" w:line="240" w:lineRule="auto"/>
        <w:ind w:left="360"/>
        <w:rPr>
          <w:rFonts w:eastAsia="仿宋"/>
          <w:b/>
          <w:sz w:val="24"/>
          <w:lang w:val="mn-MN"/>
        </w:rPr>
      </w:pPr>
      <w:r>
        <w:rPr>
          <w:rFonts w:eastAsia="仿宋"/>
          <w:b/>
          <w:sz w:val="24"/>
          <w:cs/>
          <w:lang w:val="mn-MN"/>
        </w:rPr>
        <w:t>Гурав</w:t>
      </w:r>
      <w:r>
        <w:rPr>
          <w:rFonts w:hint="default" w:eastAsia="仿宋"/>
          <w:b/>
          <w:sz w:val="24"/>
          <w:cs/>
          <w:lang w:val="mn-MN"/>
        </w:rPr>
        <w:t xml:space="preserve"> </w:t>
      </w:r>
      <w:r>
        <w:rPr>
          <w:rFonts w:eastAsia="仿宋"/>
          <w:b/>
          <w:sz w:val="24"/>
          <w:lang w:val="mn-MN"/>
        </w:rPr>
        <w:t xml:space="preserve">. Үнэлгээний оноо өгөх хүчин зүйл болон стандарт </w:t>
      </w:r>
    </w:p>
    <w:p w14:paraId="26D2C047">
      <w:pPr>
        <w:pStyle w:val="47"/>
        <w:numPr>
          <w:ilvl w:val="0"/>
          <w:numId w:val="8"/>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Бизнесийн баримт бичигүүд тэнцэх эсэхийг хянан шалгах；</w:t>
      </w:r>
    </w:p>
    <w:p w14:paraId="50AE923E">
      <w:pPr>
        <w:spacing w:after="0" w:line="240" w:lineRule="auto"/>
        <w:ind w:left="360"/>
        <w:rPr>
          <w:rFonts w:eastAsia="仿宋"/>
          <w:sz w:val="24"/>
          <w:lang w:val="mn-MN"/>
        </w:rPr>
      </w:pPr>
      <w:r>
        <w:rPr>
          <w:rFonts w:eastAsia="仿宋"/>
          <w:sz w:val="24"/>
          <w:lang w:val="mn-MN"/>
        </w:rPr>
        <w:t>А. Хуулийн этгээдийн итгэмжлэх бичиг, хуулийн этгээдийн гэрчилгээ болон иргэний үнэмлэхний хуулбар, хуулийн итгээдийн итгэмжлэгдсэн төлөөлөгчийн иргэний үнэмлэхний хуулбар ；</w:t>
      </w:r>
    </w:p>
    <w:p w14:paraId="2DF971D2">
      <w:pPr>
        <w:spacing w:after="0" w:line="240" w:lineRule="auto"/>
        <w:ind w:left="360"/>
        <w:rPr>
          <w:rFonts w:eastAsia="仿宋"/>
          <w:sz w:val="24"/>
          <w:lang w:val="mn-MN"/>
        </w:rPr>
      </w:pPr>
      <w:r>
        <w:rPr>
          <w:rFonts w:eastAsia="仿宋"/>
          <w:sz w:val="24"/>
          <w:lang w:val="mn-MN"/>
        </w:rPr>
        <w:t>В. Тендерийн баримт бичгийн гарын үсэг болон тамга；</w:t>
      </w:r>
    </w:p>
    <w:p w14:paraId="536BC874">
      <w:pPr>
        <w:spacing w:after="0" w:line="240" w:lineRule="auto"/>
        <w:ind w:left="360"/>
        <w:rPr>
          <w:rFonts w:eastAsia="仿宋"/>
          <w:sz w:val="24"/>
          <w:lang w:val="mn-MN"/>
        </w:rPr>
      </w:pPr>
      <w:r>
        <w:rPr>
          <w:rFonts w:eastAsia="仿宋"/>
          <w:sz w:val="24"/>
          <w:lang w:val="mn-MN"/>
        </w:rPr>
        <w:t>С. Тендерийн баримт бичгийн хүчинтэй хугацаа；</w:t>
      </w:r>
    </w:p>
    <w:p w14:paraId="49650EB1">
      <w:pPr>
        <w:spacing w:after="0" w:line="240" w:lineRule="auto"/>
        <w:ind w:left="360"/>
        <w:rPr>
          <w:rFonts w:eastAsia="仿宋"/>
          <w:sz w:val="24"/>
          <w:lang w:val="mn-MN"/>
        </w:rPr>
      </w:pPr>
      <w:r>
        <w:rPr>
          <w:rFonts w:eastAsia="仿宋"/>
          <w:sz w:val="24"/>
        </w:rPr>
        <w:t>D</w:t>
      </w:r>
      <w:r>
        <w:rPr>
          <w:rFonts w:eastAsia="仿宋"/>
          <w:sz w:val="24"/>
          <w:lang w:val="mn-MN"/>
        </w:rPr>
        <w:t>. Тендерийн баримт бичгийн бизнесийн нөхцөлийн байдал；</w:t>
      </w:r>
    </w:p>
    <w:p w14:paraId="44335026">
      <w:pPr>
        <w:spacing w:after="0" w:line="240" w:lineRule="auto"/>
        <w:ind w:left="360"/>
        <w:rPr>
          <w:rFonts w:eastAsia="仿宋"/>
          <w:sz w:val="24"/>
          <w:lang w:val="mn-MN"/>
        </w:rPr>
      </w:pPr>
      <w:r>
        <w:rPr>
          <w:rFonts w:eastAsia="仿宋"/>
          <w:sz w:val="24"/>
          <w:lang w:val="mn-MN"/>
        </w:rPr>
        <w:t>Е. Тендерийн баримт бичгийн үнийн санлын жагсаалтын бүрэн бүтэн байдал；</w:t>
      </w:r>
    </w:p>
    <w:p w14:paraId="62021EC4">
      <w:pPr>
        <w:spacing w:after="0" w:line="240" w:lineRule="auto"/>
        <w:rPr>
          <w:rFonts w:eastAsia="仿宋"/>
          <w:sz w:val="24"/>
          <w:lang w:val="mn-MN"/>
        </w:rPr>
      </w:pPr>
      <w:r>
        <w:rPr>
          <w:rFonts w:eastAsia="仿宋"/>
          <w:sz w:val="24"/>
          <w:lang w:val="mn-MN"/>
        </w:rPr>
        <w:t xml:space="preserve">2. Иж бүрэн үнэлэх: Тенднерийн баримт бичигт тавигдах шаардлагуудыг хангах үүднээс тендерийн баримт бичигт заасан үнэлгээний стандарт болон төрөл бүрийн хүчин зүйлсийн дагуу иж бүрэн үнэлгээ хийх бөгөөд үнэлгээний стандартууд нь дараах байдалтай байна: </w:t>
      </w:r>
    </w:p>
    <w:p w14:paraId="1603ADEC">
      <w:pPr>
        <w:spacing w:after="0" w:line="240" w:lineRule="auto"/>
        <w:rPr>
          <w:rFonts w:eastAsia="仿宋"/>
          <w:sz w:val="24"/>
          <w:lang w:val="mn-MN"/>
        </w:rPr>
      </w:pPr>
      <w:r>
        <w:rPr>
          <w:rFonts w:eastAsia="仿宋"/>
          <w:sz w:val="24"/>
          <w:lang w:val="mn-MN"/>
        </w:rPr>
        <w:t>А. Тендерт оролцогчийн үндсэн байдал 1</w:t>
      </w:r>
      <w:r>
        <w:rPr>
          <w:rFonts w:hint="eastAsia" w:eastAsia="仿宋"/>
          <w:sz w:val="24"/>
          <w:lang w:val="en-US" w:eastAsia="zh-CN"/>
        </w:rPr>
        <w:t>0</w:t>
      </w:r>
      <w:r>
        <w:rPr>
          <w:rFonts w:eastAsia="仿宋"/>
          <w:sz w:val="24"/>
          <w:lang w:val="mn-MN"/>
        </w:rPr>
        <w:t xml:space="preserve"> оноо, Үнэлэх зарчим: Бүртгэлтэй хөрөнгө, сүүлийн 3 жилийн цэвэр хөрөнгийн үнэлгээ, гүйцэтгэл；</w:t>
      </w:r>
    </w:p>
    <w:p w14:paraId="4F05D773">
      <w:pPr>
        <w:spacing w:after="0" w:line="240" w:lineRule="auto"/>
        <w:rPr>
          <w:rFonts w:eastAsia="仿宋"/>
          <w:sz w:val="24"/>
          <w:lang w:val="mn-MN"/>
        </w:rPr>
      </w:pPr>
      <w:r>
        <w:rPr>
          <w:rFonts w:eastAsia="仿宋"/>
          <w:sz w:val="24"/>
          <w:lang w:val="mn-MN"/>
        </w:rPr>
        <w:t>В. Тээвэрлэлтийн чадвар 15 оноо, Үнэлэх зарчим: Хамтрагч байгуудлгын вагоны тоо хэмжээ, цар хүрээ, Монгол болон Орос дахь төлөөлөгчийн газар зэрэг；</w:t>
      </w:r>
    </w:p>
    <w:p w14:paraId="457E218A">
      <w:pPr>
        <w:spacing w:after="0" w:line="240" w:lineRule="auto"/>
        <w:rPr>
          <w:rFonts w:eastAsia="仿宋"/>
          <w:sz w:val="24"/>
          <w:lang w:val="mn-MN"/>
        </w:rPr>
      </w:pPr>
      <w:r>
        <w:rPr>
          <w:rFonts w:eastAsia="仿宋"/>
          <w:sz w:val="24"/>
          <w:lang w:val="mn-MN"/>
        </w:rPr>
        <w:t>С. Төлөвлөгөө зохион байгуулах хэрэгжүүлэх 1</w:t>
      </w:r>
      <w:r>
        <w:rPr>
          <w:rFonts w:hint="eastAsia" w:eastAsia="仿宋"/>
          <w:sz w:val="24"/>
          <w:lang w:val="en-US" w:eastAsia="zh-CN"/>
        </w:rPr>
        <w:t>0</w:t>
      </w:r>
      <w:r>
        <w:rPr>
          <w:rFonts w:eastAsia="仿宋"/>
          <w:sz w:val="24"/>
          <w:lang w:val="mn-MN"/>
        </w:rPr>
        <w:t xml:space="preserve"> оноо, Үнэлэх зарчим: Тээвэрлэлтийн төлөвлөгөө, ажиллах хүчний бэлэн байдал, яаралтай үед авч хэрэгжүүлэх арга хэмжээ болон үйлчилгээний үүрэг хариуцлага зэрэг；</w:t>
      </w:r>
    </w:p>
    <w:p w14:paraId="0CA67980">
      <w:pPr>
        <w:spacing w:after="0" w:line="240" w:lineRule="auto"/>
        <w:rPr>
          <w:rFonts w:hint="default" w:ascii="Times New Roman" w:hAnsi="Times New Roman" w:eastAsia="仿宋" w:cs="Times New Roman"/>
          <w:sz w:val="24"/>
          <w:lang w:val="mn-MN"/>
        </w:rPr>
      </w:pPr>
      <w:r>
        <w:rPr>
          <w:rFonts w:eastAsia="仿宋"/>
          <w:sz w:val="24"/>
        </w:rPr>
        <w:t>D</w:t>
      </w:r>
      <w:r>
        <w:rPr>
          <w:rFonts w:eastAsia="仿宋"/>
          <w:sz w:val="24"/>
          <w:lang w:val="mn-MN"/>
        </w:rPr>
        <w:t>. Бусад 5 оноо,  Үнэлэх зарчим: төлбөрийн нөхцөл, бусад оролцогчдоос илүү сайн байх гэх мэт. Тендерийн үнэлгээний комисс онооны ихээс бага руу гэсэн дарааллаар хоёр оролцогчийг сонгох бөгөөд хэрэв оролцогчид ижил оноотой бол хамгийн бага үнийн санал ирүүлсэн оролцогчид давуу эрх олгоно.</w:t>
      </w:r>
      <w:r>
        <w:rPr>
          <w:rFonts w:hint="default" w:ascii="Times New Roman" w:hAnsi="Times New Roman" w:eastAsia="仿宋" w:cs="Times New Roman"/>
          <w:sz w:val="24"/>
          <w:lang w:val="mn-MN"/>
        </w:rPr>
        <w:t>Эцэст нь компанийн худалдан авах ажлын удирдах багийн шийдвэрээр тендерийн ялагчийг тодруулна.</w:t>
      </w:r>
    </w:p>
    <w:p w14:paraId="11C0A730">
      <w:pPr>
        <w:spacing w:after="0" w:line="240" w:lineRule="auto"/>
        <w:rPr>
          <w:rFonts w:eastAsia="仿宋"/>
          <w:sz w:val="24"/>
          <w:lang w:val="mn-MN"/>
        </w:rPr>
      </w:pPr>
      <w:r>
        <w:rPr>
          <w:rFonts w:hint="eastAsia" w:eastAsia="仿宋"/>
          <w:sz w:val="24"/>
          <w:lang w:val="en-US" w:eastAsia="zh-CN"/>
        </w:rPr>
        <w:t>3</w:t>
      </w:r>
      <w:r>
        <w:rPr>
          <w:rFonts w:eastAsia="仿宋"/>
          <w:sz w:val="24"/>
          <w:lang w:val="mn-MN"/>
        </w:rPr>
        <w:t xml:space="preserve">. Тендерийн үнийн санал </w:t>
      </w:r>
      <w:r>
        <w:rPr>
          <w:rFonts w:hint="eastAsia" w:eastAsia="仿宋"/>
          <w:sz w:val="24"/>
          <w:lang w:val="en-US" w:eastAsia="zh-CN"/>
        </w:rPr>
        <w:t>6</w:t>
      </w:r>
      <w:r>
        <w:rPr>
          <w:rFonts w:eastAsia="仿宋"/>
          <w:sz w:val="24"/>
          <w:lang w:val="mn-MN"/>
        </w:rPr>
        <w:t xml:space="preserve">0 оноо, Үнэлэх зарчим: </w:t>
      </w:r>
    </w:p>
    <w:p w14:paraId="22E1F7E4">
      <w:pPr>
        <w:spacing w:after="0" w:line="240" w:lineRule="auto"/>
        <w:rPr>
          <w:rFonts w:hint="default" w:ascii="Times New Roman" w:hAnsi="Times New Roman" w:eastAsia="仿宋" w:cs="Times New Roman"/>
          <w:sz w:val="24"/>
          <w:lang w:val="mn-MN"/>
        </w:rPr>
      </w:pPr>
      <w:r>
        <w:rPr>
          <w:rFonts w:hint="default" w:ascii="Times New Roman" w:hAnsi="Times New Roman" w:eastAsia="仿宋" w:cs="Times New Roman"/>
          <w:sz w:val="24"/>
          <w:lang w:val="mn-MN"/>
        </w:rPr>
        <w:t>тендерт оролцогчдын үнийн саналын дундаж үнийг суурь оноо P гэж тогтооно. Тухайн оролцогчийн санал болгосон үнийг P1 гэж тэмдэглэнэ.</w:t>
      </w:r>
    </w:p>
    <w:p w14:paraId="02CE2FE0">
      <w:pPr>
        <w:spacing w:after="0" w:line="240" w:lineRule="auto"/>
        <w:rPr>
          <w:rFonts w:hint="default" w:ascii="Times New Roman" w:hAnsi="Times New Roman" w:eastAsia="仿宋" w:cs="Times New Roman"/>
          <w:sz w:val="24"/>
          <w:lang w:val="mn-MN"/>
        </w:rPr>
      </w:pPr>
      <w:r>
        <w:rPr>
          <w:rFonts w:hint="default" w:ascii="Times New Roman" w:hAnsi="Times New Roman" w:eastAsia="仿宋" w:cs="Times New Roman"/>
          <w:sz w:val="24"/>
          <w:lang w:val="mn-MN"/>
        </w:rPr>
        <w:t>Үнийн саналын оноо = 60 × (1 − (P1 − P) / P) × 60%</w:t>
      </w:r>
      <w:r>
        <w:rPr>
          <w:rFonts w:hint="default" w:eastAsia="仿宋" w:cs="Times New Roman"/>
          <w:sz w:val="24"/>
          <w:cs/>
          <w:lang w:val="mn-MN"/>
        </w:rPr>
        <w:t>.</w:t>
      </w:r>
      <w:r>
        <w:rPr>
          <w:rFonts w:hint="default" w:ascii="Times New Roman" w:hAnsi="Times New Roman" w:eastAsia="仿宋" w:cs="Times New Roman"/>
          <w:sz w:val="24"/>
          <w:lang w:val="mn-MN"/>
        </w:rPr>
        <w:t>Үнийн саналын оноо нь 60 онооноос хэтрэхгүй байна.</w:t>
      </w:r>
    </w:p>
    <w:p w14:paraId="68C86898">
      <w:pPr>
        <w:spacing w:after="0" w:line="240" w:lineRule="auto"/>
        <w:rPr>
          <w:rFonts w:hint="eastAsia" w:ascii="Times New Roman" w:hAnsi="Times New Roman" w:eastAsia="仿宋" w:cs="Times New Roman"/>
          <w:sz w:val="24"/>
          <w:lang w:val="mn-MN" w:eastAsia="zh-CN"/>
        </w:rPr>
      </w:pPr>
    </w:p>
    <w:p w14:paraId="144D04E3">
      <w:pPr>
        <w:spacing w:after="0" w:line="240" w:lineRule="auto"/>
        <w:rPr>
          <w:rFonts w:eastAsia="仿宋"/>
          <w:sz w:val="24"/>
          <w:lang w:val="mn-MN"/>
        </w:rPr>
      </w:pPr>
    </w:p>
    <w:p w14:paraId="06DDD0A9">
      <w:pPr>
        <w:spacing w:after="0" w:line="240" w:lineRule="auto"/>
        <w:rPr>
          <w:rFonts w:eastAsia="仿宋"/>
          <w:sz w:val="24"/>
          <w:lang w:val="mn-MN"/>
        </w:rPr>
      </w:pPr>
    </w:p>
    <w:p w14:paraId="496D5CA0">
      <w:pPr>
        <w:spacing w:after="0" w:line="240" w:lineRule="auto"/>
        <w:rPr>
          <w:rFonts w:hint="default" w:ascii="Times New Roman" w:hAnsi="Times New Roman" w:eastAsia="仿宋" w:cs="Times New Roman"/>
          <w:sz w:val="24"/>
          <w:lang w:val="mn-MN" w:eastAsia="zh-CN"/>
        </w:rPr>
      </w:pPr>
      <w:r>
        <w:rPr>
          <w:rFonts w:hint="eastAsia" w:eastAsia="仿宋"/>
          <w:sz w:val="24"/>
          <w:lang w:val="en-US" w:eastAsia="zh-CN"/>
        </w:rPr>
        <w:t>4.</w:t>
      </w:r>
      <w:r>
        <w:rPr>
          <w:rFonts w:hint="default" w:ascii="Times New Roman" w:hAnsi="Times New Roman" w:eastAsia="仿宋" w:cs="Times New Roman"/>
          <w:sz w:val="24"/>
          <w:lang w:val="en-US" w:eastAsia="zh-CN"/>
        </w:rPr>
        <w:t>Үнэлгээний нийт оноо = Үнийн саналын оноо + Нэгдсэн (</w:t>
      </w:r>
      <w:r>
        <w:rPr>
          <w:rFonts w:hint="default" w:eastAsia="仿宋" w:cs="Times New Roman"/>
          <w:sz w:val="24"/>
          <w:cs/>
          <w:lang w:val="mn-MN" w:eastAsia="zh-CN"/>
        </w:rPr>
        <w:t xml:space="preserve">техник чанарын </w:t>
      </w:r>
      <w:r>
        <w:rPr>
          <w:rFonts w:hint="default" w:ascii="Times New Roman" w:hAnsi="Times New Roman" w:eastAsia="仿宋" w:cs="Times New Roman"/>
          <w:sz w:val="24"/>
          <w:lang w:val="en-US" w:eastAsia="zh-CN"/>
        </w:rPr>
        <w:t>үнэлгээний оноо</w:t>
      </w:r>
    </w:p>
    <w:p w14:paraId="3DE1AADB">
      <w:pPr>
        <w:spacing w:after="0" w:line="240" w:lineRule="auto"/>
        <w:ind w:firstLine="420" w:firstLineChars="0"/>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Үнэлгээний хороо нь оролцогчдыг нийт онооны ихээс бага руу эрэмбэлж, хамгийн өндөр оноотой 2 оролцогчийг шалгарсан нэр дэвшигчээр санал болгоно. Хэрэв нийт оноо тэнцсэн тохиолдолд үнийн санал бага оролцогчийг давуугаар эрэмбэлнэ.Эцсийн шийдвэрийг компанийн худалдан авалтын удирдах зөвлөл гаргана.</w:t>
      </w:r>
    </w:p>
    <w:p w14:paraId="69C3086F">
      <w:pPr>
        <w:spacing w:after="0" w:line="240" w:lineRule="auto"/>
        <w:rPr>
          <w:rFonts w:hint="default" w:ascii="Times New Roman" w:hAnsi="Times New Roman" w:eastAsia="仿宋" w:cs="Times New Roman"/>
          <w:sz w:val="24"/>
          <w:lang w:val="mn-MN"/>
        </w:rPr>
      </w:pPr>
    </w:p>
    <w:p w14:paraId="4BD41D84">
      <w:pPr>
        <w:spacing w:after="0" w:line="240" w:lineRule="auto"/>
        <w:rPr>
          <w:rFonts w:eastAsia="仿宋"/>
          <w:sz w:val="24"/>
          <w:lang w:val="mn-MN"/>
        </w:rPr>
      </w:pPr>
    </w:p>
    <w:p w14:paraId="01D332F3">
      <w:pPr>
        <w:spacing w:after="0" w:line="240" w:lineRule="auto"/>
        <w:rPr>
          <w:rFonts w:eastAsia="仿宋"/>
          <w:sz w:val="24"/>
          <w:lang w:val="mn-MN"/>
        </w:rPr>
      </w:pPr>
    </w:p>
    <w:p w14:paraId="2718DB73">
      <w:pPr>
        <w:spacing w:after="0" w:line="240" w:lineRule="auto"/>
        <w:jc w:val="center"/>
        <w:rPr>
          <w:rFonts w:eastAsia="仿宋"/>
          <w:b/>
          <w:sz w:val="32"/>
          <w:lang w:val="mn-MN"/>
        </w:rPr>
      </w:pPr>
      <w:r>
        <w:rPr>
          <w:rFonts w:eastAsia="仿宋"/>
          <w:b/>
          <w:sz w:val="32"/>
        </w:rPr>
        <w:t>(</w:t>
      </w:r>
      <w:r>
        <w:rPr>
          <w:rFonts w:eastAsia="仿宋"/>
          <w:b/>
          <w:sz w:val="32"/>
          <w:lang w:val="mn-MN"/>
        </w:rPr>
        <w:t xml:space="preserve"> Долоо </w:t>
      </w:r>
      <w:r>
        <w:rPr>
          <w:rFonts w:eastAsia="仿宋"/>
          <w:b/>
          <w:sz w:val="32"/>
        </w:rPr>
        <w:t>)</w:t>
      </w:r>
      <w:r>
        <w:rPr>
          <w:rFonts w:eastAsia="仿宋"/>
          <w:b/>
          <w:sz w:val="32"/>
          <w:lang w:val="mn-MN"/>
        </w:rPr>
        <w:t xml:space="preserve"> Гэрээний эрх олгох</w:t>
      </w:r>
    </w:p>
    <w:p w14:paraId="57B520A7">
      <w:pPr>
        <w:spacing w:after="0" w:line="240" w:lineRule="auto"/>
        <w:rPr>
          <w:rFonts w:eastAsia="仿宋"/>
          <w:sz w:val="24"/>
          <w:lang w:val="mn-MN"/>
        </w:rPr>
      </w:pPr>
    </w:p>
    <w:p w14:paraId="4A5C3DEE">
      <w:pPr>
        <w:spacing w:after="0" w:line="240" w:lineRule="auto"/>
        <w:rPr>
          <w:rFonts w:eastAsia="仿宋"/>
          <w:b/>
          <w:sz w:val="24"/>
          <w:lang w:val="mn-MN"/>
        </w:rPr>
      </w:pPr>
      <w:r>
        <w:rPr>
          <w:rFonts w:eastAsia="仿宋"/>
          <w:b/>
          <w:sz w:val="24"/>
          <w:lang w:val="mn-MN"/>
        </w:rPr>
        <w:t xml:space="preserve">29. Гэрээний эрх олгох стандарт </w:t>
      </w:r>
    </w:p>
    <w:p w14:paraId="614A90F4">
      <w:pPr>
        <w:spacing w:after="0" w:line="240" w:lineRule="auto"/>
        <w:rPr>
          <w:rFonts w:eastAsia="仿宋"/>
          <w:sz w:val="24"/>
          <w:lang w:val="mn-MN"/>
        </w:rPr>
      </w:pPr>
      <w:r>
        <w:rPr>
          <w:rFonts w:eastAsia="仿宋"/>
          <w:sz w:val="24"/>
          <w:lang w:val="mn-MN"/>
        </w:rPr>
        <w:t xml:space="preserve">Тендерийн баримт бичгийн зааврын 27.3-ын дагуу тогтоосон тендерт оролцогчид гэрээний эрх олгоно. </w:t>
      </w:r>
    </w:p>
    <w:p w14:paraId="3EC8157B">
      <w:pPr>
        <w:spacing w:after="0" w:line="240" w:lineRule="auto"/>
        <w:rPr>
          <w:rFonts w:eastAsia="仿宋"/>
          <w:sz w:val="24"/>
          <w:lang w:val="mn-MN"/>
        </w:rPr>
      </w:pPr>
    </w:p>
    <w:p w14:paraId="7AACE5FD">
      <w:pPr>
        <w:spacing w:after="0" w:line="240" w:lineRule="auto"/>
        <w:rPr>
          <w:rFonts w:eastAsia="仿宋"/>
          <w:b/>
          <w:sz w:val="24"/>
          <w:lang w:val="mn-MN"/>
        </w:rPr>
      </w:pPr>
      <w:r>
        <w:rPr>
          <w:rFonts w:eastAsia="仿宋"/>
          <w:b/>
          <w:sz w:val="24"/>
          <w:lang w:val="mn-MN"/>
        </w:rPr>
        <w:t>30. Тендерт ялсан тухай мэдэгдэл</w:t>
      </w:r>
    </w:p>
    <w:p w14:paraId="709B8DEF">
      <w:pPr>
        <w:spacing w:after="0" w:line="240" w:lineRule="auto"/>
        <w:rPr>
          <w:rFonts w:eastAsia="仿宋"/>
          <w:sz w:val="24"/>
          <w:lang w:val="mn-MN"/>
        </w:rPr>
      </w:pPr>
      <w:r>
        <w:rPr>
          <w:rFonts w:eastAsia="仿宋"/>
          <w:sz w:val="24"/>
          <w:lang w:val="mn-MN"/>
        </w:rPr>
        <w:t xml:space="preserve">30.1 Тендерт ялагчийг тодруулсаны дараа тендерийн хүчинтэй хугацаа дуусахаас өмнө тендерт ялагчийн цахим хаяг руу и-мэйл-ээр мэдэгдэх бөгөөд мэдэгдэлд гэрээ хийх хугацаа болон газрыг тодорхой бичиж өгөх хэрэгтэй. </w:t>
      </w:r>
    </w:p>
    <w:p w14:paraId="32394F9C">
      <w:pPr>
        <w:spacing w:after="0" w:line="240" w:lineRule="auto"/>
        <w:rPr>
          <w:rFonts w:eastAsia="仿宋"/>
          <w:sz w:val="24"/>
          <w:lang w:val="mn-MN"/>
        </w:rPr>
      </w:pPr>
      <w:r>
        <w:rPr>
          <w:rFonts w:eastAsia="仿宋"/>
          <w:sz w:val="24"/>
          <w:lang w:val="mn-MN"/>
        </w:rPr>
        <w:t xml:space="preserve">30.2 Тендерт ялагчийн мэдэгдэл нь гэрээний нэг хэсэг болно. </w:t>
      </w:r>
    </w:p>
    <w:p w14:paraId="6C5667A1">
      <w:pPr>
        <w:spacing w:after="0" w:line="240" w:lineRule="auto"/>
        <w:rPr>
          <w:rFonts w:eastAsia="仿宋"/>
          <w:sz w:val="24"/>
          <w:lang w:val="mn-MN"/>
        </w:rPr>
      </w:pPr>
      <w:r>
        <w:rPr>
          <w:rFonts w:eastAsia="仿宋"/>
          <w:sz w:val="24"/>
          <w:lang w:val="mn-MN"/>
        </w:rPr>
        <w:t>30.3 Тендер захиалагч тендерт ялагч байгуулгатай гэрээ байгуулсаны дараа, тендер зарлагч бусад тендерт оролцогчдод тендерийн үр дүнг мэдэгдэнэ.</w:t>
      </w:r>
    </w:p>
    <w:p w14:paraId="6E9CD333">
      <w:pPr>
        <w:spacing w:after="0" w:line="240" w:lineRule="auto"/>
        <w:rPr>
          <w:rFonts w:eastAsia="仿宋"/>
          <w:sz w:val="24"/>
          <w:lang w:val="mn-MN"/>
        </w:rPr>
      </w:pPr>
    </w:p>
    <w:p w14:paraId="332E4E72">
      <w:pPr>
        <w:spacing w:after="0" w:line="240" w:lineRule="auto"/>
        <w:rPr>
          <w:rFonts w:eastAsia="仿宋"/>
          <w:b/>
          <w:sz w:val="24"/>
          <w:lang w:val="mn-MN"/>
        </w:rPr>
      </w:pPr>
      <w:r>
        <w:rPr>
          <w:rFonts w:eastAsia="仿宋"/>
          <w:b/>
          <w:sz w:val="24"/>
          <w:lang w:val="mn-MN"/>
        </w:rPr>
        <w:t xml:space="preserve">31. Гэрээ байгуулах </w:t>
      </w:r>
    </w:p>
    <w:p w14:paraId="3234C425">
      <w:pPr>
        <w:spacing w:after="0" w:line="240" w:lineRule="auto"/>
        <w:rPr>
          <w:rFonts w:eastAsia="仿宋"/>
          <w:sz w:val="24"/>
          <w:lang w:val="mn-MN"/>
        </w:rPr>
      </w:pPr>
      <w:r>
        <w:rPr>
          <w:rFonts w:eastAsia="仿宋"/>
          <w:sz w:val="24"/>
          <w:lang w:val="mn-MN"/>
        </w:rPr>
        <w:t xml:space="preserve">31.1 Тендер захиалагч тендерт ялагчид мэдэгдэл хүргүүлсэн өдрөөс эхлэн 30 хоногийн дотор тендерийн баримт бичиг болон тендерт ялагчийн тендерийн баримт бичгийн дагуу гэрээ байгуулна. </w:t>
      </w:r>
    </w:p>
    <w:p w14:paraId="34C466EE">
      <w:pPr>
        <w:spacing w:after="0" w:line="240" w:lineRule="auto"/>
        <w:rPr>
          <w:rFonts w:eastAsia="仿宋"/>
          <w:sz w:val="24"/>
          <w:lang w:val="mn-MN"/>
        </w:rPr>
      </w:pPr>
      <w:r>
        <w:rPr>
          <w:rFonts w:eastAsia="仿宋"/>
          <w:sz w:val="24"/>
          <w:lang w:val="mn-MN"/>
        </w:rPr>
        <w:t>31.2 Хэрэв тендерт ялагч тус тендерийн баримт бичиг болон холбогдох дүрмийн дагуу гэрээ байгуулахгүй гэж үзвэл тендер захиалагч нь дараагийн эрэмбэлэгдсэн тендерт оролцогчийг сонгох эрхтэй бөгөөд тендер цуцлагдсаныг зарлана.</w:t>
      </w:r>
    </w:p>
    <w:p w14:paraId="5094FEF7">
      <w:pPr>
        <w:spacing w:after="0" w:line="240" w:lineRule="auto"/>
        <w:rPr>
          <w:rFonts w:eastAsia="仿宋"/>
          <w:sz w:val="24"/>
          <w:lang w:val="mn-MN"/>
        </w:rPr>
      </w:pPr>
    </w:p>
    <w:p w14:paraId="3DF4BF22">
      <w:pPr>
        <w:spacing w:after="0" w:line="240" w:lineRule="auto"/>
        <w:rPr>
          <w:rFonts w:eastAsia="仿宋"/>
          <w:sz w:val="24"/>
          <w:lang w:val="mn-MN"/>
        </w:rPr>
      </w:pPr>
    </w:p>
    <w:p w14:paraId="2B2BA709">
      <w:pPr>
        <w:spacing w:after="0" w:line="240" w:lineRule="auto"/>
        <w:rPr>
          <w:rFonts w:eastAsia="仿宋"/>
          <w:sz w:val="24"/>
          <w:lang w:val="mn-MN"/>
        </w:rPr>
      </w:pPr>
    </w:p>
    <w:p w14:paraId="036DA205">
      <w:pPr>
        <w:spacing w:after="0" w:line="240" w:lineRule="auto"/>
        <w:rPr>
          <w:rFonts w:eastAsia="仿宋"/>
          <w:sz w:val="24"/>
          <w:lang w:val="mn-MN"/>
        </w:rPr>
      </w:pPr>
    </w:p>
    <w:p w14:paraId="2C7BADFE">
      <w:pPr>
        <w:spacing w:after="0" w:line="240" w:lineRule="auto"/>
        <w:rPr>
          <w:rFonts w:eastAsia="仿宋"/>
          <w:sz w:val="24"/>
          <w:lang w:val="mn-MN"/>
        </w:rPr>
      </w:pPr>
    </w:p>
    <w:p w14:paraId="14499CA0">
      <w:pPr>
        <w:spacing w:after="0" w:line="240" w:lineRule="auto"/>
        <w:rPr>
          <w:rFonts w:eastAsia="仿宋"/>
          <w:sz w:val="24"/>
          <w:lang w:val="mn-MN"/>
        </w:rPr>
      </w:pPr>
    </w:p>
    <w:p w14:paraId="582E9D27">
      <w:pPr>
        <w:spacing w:after="0" w:line="240" w:lineRule="auto"/>
        <w:rPr>
          <w:rFonts w:eastAsia="仿宋"/>
          <w:sz w:val="24"/>
          <w:lang w:val="mn-MN"/>
        </w:rPr>
      </w:pPr>
    </w:p>
    <w:p w14:paraId="01EE2CC5">
      <w:pPr>
        <w:spacing w:after="0" w:line="240" w:lineRule="auto"/>
        <w:rPr>
          <w:rFonts w:eastAsia="仿宋"/>
          <w:sz w:val="24"/>
          <w:lang w:val="mn-MN"/>
        </w:rPr>
      </w:pPr>
    </w:p>
    <w:p w14:paraId="55FFF00A">
      <w:pPr>
        <w:spacing w:after="0" w:line="240" w:lineRule="auto"/>
        <w:rPr>
          <w:rFonts w:eastAsia="仿宋"/>
          <w:sz w:val="24"/>
          <w:lang w:val="mn-MN"/>
        </w:rPr>
      </w:pPr>
    </w:p>
    <w:p w14:paraId="0D2F6270">
      <w:pPr>
        <w:spacing w:after="0" w:line="240" w:lineRule="auto"/>
        <w:rPr>
          <w:rFonts w:eastAsia="仿宋"/>
          <w:sz w:val="24"/>
          <w:lang w:val="mn-MN"/>
        </w:rPr>
      </w:pPr>
    </w:p>
    <w:p w14:paraId="3DF96AD0">
      <w:pPr>
        <w:spacing w:after="0" w:line="240" w:lineRule="auto"/>
        <w:rPr>
          <w:rFonts w:eastAsia="仿宋"/>
          <w:sz w:val="24"/>
          <w:lang w:val="mn-MN"/>
        </w:rPr>
      </w:pPr>
    </w:p>
    <w:p w14:paraId="63A57FEA">
      <w:pPr>
        <w:spacing w:after="0" w:line="240" w:lineRule="auto"/>
        <w:rPr>
          <w:rFonts w:eastAsia="仿宋"/>
          <w:sz w:val="24"/>
          <w:lang w:val="mn-MN"/>
        </w:rPr>
      </w:pPr>
    </w:p>
    <w:p w14:paraId="46FCEE82">
      <w:pPr>
        <w:spacing w:after="0" w:line="240" w:lineRule="auto"/>
        <w:rPr>
          <w:rFonts w:eastAsia="仿宋"/>
          <w:sz w:val="24"/>
          <w:lang w:val="mn-MN"/>
        </w:rPr>
      </w:pPr>
    </w:p>
    <w:p w14:paraId="43BF2CD1">
      <w:pPr>
        <w:spacing w:after="0" w:line="240" w:lineRule="auto"/>
        <w:rPr>
          <w:rFonts w:eastAsia="仿宋"/>
          <w:sz w:val="24"/>
          <w:lang w:val="mn-MN"/>
        </w:rPr>
      </w:pPr>
    </w:p>
    <w:p w14:paraId="3E1E83C9">
      <w:pPr>
        <w:spacing w:after="0" w:line="240" w:lineRule="auto"/>
        <w:rPr>
          <w:rFonts w:eastAsia="仿宋"/>
          <w:sz w:val="24"/>
          <w:lang w:val="mn-MN"/>
        </w:rPr>
      </w:pPr>
    </w:p>
    <w:p w14:paraId="3C52B644">
      <w:pPr>
        <w:spacing w:after="0" w:line="240" w:lineRule="auto"/>
        <w:rPr>
          <w:rFonts w:eastAsia="仿宋"/>
          <w:sz w:val="24"/>
          <w:lang w:val="mn-MN"/>
        </w:rPr>
      </w:pPr>
    </w:p>
    <w:p w14:paraId="72C66CFC">
      <w:pPr>
        <w:spacing w:after="0" w:line="240" w:lineRule="auto"/>
        <w:rPr>
          <w:rFonts w:eastAsia="仿宋"/>
          <w:sz w:val="24"/>
          <w:lang w:val="mn-MN"/>
        </w:rPr>
      </w:pPr>
    </w:p>
    <w:p w14:paraId="34AAC1B8">
      <w:pPr>
        <w:spacing w:after="0" w:line="240" w:lineRule="auto"/>
        <w:rPr>
          <w:rFonts w:eastAsia="仿宋"/>
          <w:sz w:val="24"/>
          <w:lang w:val="mn-MN"/>
        </w:rPr>
      </w:pPr>
    </w:p>
    <w:p w14:paraId="5F221990">
      <w:pPr>
        <w:spacing w:after="0" w:line="240" w:lineRule="auto"/>
        <w:rPr>
          <w:rFonts w:eastAsia="仿宋"/>
          <w:sz w:val="24"/>
          <w:lang w:val="mn-MN"/>
        </w:rPr>
      </w:pPr>
    </w:p>
    <w:p w14:paraId="280C735A">
      <w:pPr>
        <w:spacing w:after="0" w:line="240" w:lineRule="auto"/>
        <w:rPr>
          <w:rFonts w:eastAsia="仿宋"/>
          <w:sz w:val="24"/>
          <w:lang w:val="mn-MN"/>
        </w:rPr>
      </w:pPr>
    </w:p>
    <w:p w14:paraId="7AE8DC45">
      <w:pPr>
        <w:spacing w:after="0" w:line="240" w:lineRule="auto"/>
        <w:rPr>
          <w:rFonts w:eastAsia="仿宋"/>
          <w:sz w:val="24"/>
          <w:lang w:val="mn-MN"/>
        </w:rPr>
      </w:pPr>
    </w:p>
    <w:p w14:paraId="0E9241B4">
      <w:pPr>
        <w:spacing w:after="0" w:line="240" w:lineRule="auto"/>
        <w:rPr>
          <w:rFonts w:eastAsia="仿宋"/>
          <w:sz w:val="24"/>
          <w:lang w:val="mn-MN"/>
        </w:rPr>
      </w:pPr>
    </w:p>
    <w:p w14:paraId="03C053A1">
      <w:pPr>
        <w:spacing w:after="0" w:line="240" w:lineRule="auto"/>
        <w:rPr>
          <w:rFonts w:eastAsia="仿宋"/>
          <w:sz w:val="24"/>
          <w:lang w:val="mn-MN"/>
        </w:rPr>
      </w:pPr>
    </w:p>
    <w:p w14:paraId="6DCC62BF">
      <w:pPr>
        <w:spacing w:after="0" w:line="240" w:lineRule="auto"/>
        <w:rPr>
          <w:rFonts w:eastAsia="仿宋"/>
          <w:sz w:val="24"/>
          <w:lang w:val="mn-MN"/>
        </w:rPr>
      </w:pPr>
      <w:r>
        <w:rPr>
          <w:rFonts w:eastAsia="仿宋"/>
          <w:sz w:val="24"/>
          <w:lang w:val="mn-MN"/>
        </w:rPr>
        <w:t xml:space="preserve"> </w:t>
      </w:r>
    </w:p>
    <w:p w14:paraId="56C03E77">
      <w:pPr>
        <w:spacing w:after="0" w:line="240" w:lineRule="auto"/>
        <w:rPr>
          <w:rFonts w:eastAsia="仿宋"/>
          <w:sz w:val="24"/>
          <w:lang w:val="mn-MN"/>
        </w:rPr>
      </w:pPr>
    </w:p>
    <w:p w14:paraId="6CA7C50F">
      <w:pPr>
        <w:spacing w:after="0" w:line="240" w:lineRule="auto"/>
        <w:rPr>
          <w:rFonts w:eastAsia="仿宋"/>
          <w:sz w:val="24"/>
          <w:lang w:val="mn-MN"/>
        </w:rPr>
      </w:pPr>
    </w:p>
    <w:p w14:paraId="1F049292">
      <w:pPr>
        <w:spacing w:after="0" w:line="240" w:lineRule="auto"/>
        <w:jc w:val="center"/>
        <w:rPr>
          <w:rFonts w:eastAsia="仿宋"/>
          <w:b/>
          <w:sz w:val="32"/>
          <w:lang w:val="mn-MN"/>
        </w:rPr>
      </w:pPr>
      <w:r>
        <w:rPr>
          <w:rFonts w:eastAsia="仿宋"/>
          <w:b/>
          <w:sz w:val="32"/>
        </w:rPr>
        <w:t>(</w:t>
      </w:r>
      <w:r>
        <w:rPr>
          <w:rFonts w:eastAsia="仿宋"/>
          <w:b/>
          <w:sz w:val="32"/>
          <w:lang w:val="mn-MN"/>
        </w:rPr>
        <w:t xml:space="preserve"> Найм </w:t>
      </w:r>
      <w:r>
        <w:rPr>
          <w:rFonts w:eastAsia="仿宋"/>
          <w:b/>
          <w:sz w:val="32"/>
        </w:rPr>
        <w:t>)</w:t>
      </w:r>
      <w:r>
        <w:rPr>
          <w:rFonts w:eastAsia="仿宋"/>
          <w:b/>
          <w:sz w:val="32"/>
          <w:lang w:val="mn-MN"/>
        </w:rPr>
        <w:t xml:space="preserve"> Тендерт хяналт тавих</w:t>
      </w:r>
    </w:p>
    <w:p w14:paraId="4983AAB9">
      <w:pPr>
        <w:spacing w:after="0" w:line="240" w:lineRule="auto"/>
        <w:rPr>
          <w:rFonts w:eastAsia="仿宋"/>
          <w:sz w:val="24"/>
          <w:highlight w:val="none"/>
          <w:lang w:val="mn-MN"/>
        </w:rPr>
      </w:pPr>
    </w:p>
    <w:p w14:paraId="5DCA3EDD">
      <w:pPr>
        <w:spacing w:after="0" w:line="240" w:lineRule="auto"/>
        <w:ind w:firstLine="420"/>
        <w:rPr>
          <w:rFonts w:eastAsia="仿宋"/>
          <w:sz w:val="24"/>
          <w:highlight w:val="none"/>
          <w:lang w:val="mn-MN"/>
        </w:rPr>
      </w:pPr>
      <w:r>
        <w:rPr>
          <w:rFonts w:eastAsia="仿宋"/>
          <w:sz w:val="24"/>
          <w:highlight w:val="none"/>
          <w:lang w:val="mn-MN"/>
        </w:rPr>
        <w:t xml:space="preserve">Тус тендерийн хяналтыг Шинь Шинь ХХК-ий хяналт шалгалтын бүрэлдэхүүн хариуцна. Тендерт хяналт тавих ажилтантай холбоо барих хэлбэр: </w:t>
      </w:r>
    </w:p>
    <w:p w14:paraId="4103CAF1">
      <w:pPr>
        <w:spacing w:after="0" w:line="240" w:lineRule="auto"/>
        <w:rPr>
          <w:rFonts w:hint="default" w:eastAsia="仿宋"/>
          <w:sz w:val="24"/>
          <w:highlight w:val="none"/>
          <w:lang w:val="mn-MN"/>
        </w:rPr>
      </w:pPr>
      <w:r>
        <w:rPr>
          <w:rFonts w:eastAsia="仿宋"/>
          <w:sz w:val="24"/>
          <w:highlight w:val="none"/>
          <w:lang w:val="mn-MN"/>
        </w:rPr>
        <w:t xml:space="preserve">Холбогдох хүн: </w:t>
      </w:r>
      <w:r>
        <w:rPr>
          <w:rFonts w:hint="default" w:ascii="Times New Roman" w:hAnsi="Times New Roman" w:eastAsia="仿宋" w:cs="Times New Roman"/>
          <w:spacing w:val="-11"/>
          <w:sz w:val="28"/>
          <w:szCs w:val="28"/>
          <w:highlight w:val="none"/>
          <w:cs/>
          <w:lang w:val="mn-MN" w:eastAsia="zh-CN"/>
        </w:rPr>
        <w:t>Д.Мөнхбуйр</w:t>
      </w:r>
    </w:p>
    <w:p w14:paraId="6DBC7F80">
      <w:pPr>
        <w:spacing w:after="0" w:line="240" w:lineRule="auto"/>
        <w:rPr>
          <w:rFonts w:eastAsia="仿宋"/>
          <w:sz w:val="24"/>
          <w:highlight w:val="none"/>
          <w:lang w:val="mn-MN"/>
        </w:rPr>
      </w:pPr>
      <w:r>
        <w:rPr>
          <w:rFonts w:eastAsia="仿宋"/>
          <w:sz w:val="24"/>
          <w:highlight w:val="none"/>
          <w:lang w:val="mn-MN"/>
        </w:rPr>
        <w:t>Холбоо барих хэлбэр:</w:t>
      </w:r>
      <w:r>
        <w:rPr>
          <w:rFonts w:hint="eastAsia" w:ascii="仿宋" w:hAnsi="仿宋" w:eastAsia="仿宋" w:cs="仿宋"/>
          <w:spacing w:val="-11"/>
          <w:sz w:val="28"/>
          <w:szCs w:val="28"/>
          <w:highlight w:val="none"/>
          <w:lang w:val="en-GB" w:eastAsia="zh-CN"/>
        </w:rPr>
        <w:t>00976</w:t>
      </w:r>
      <w:r>
        <w:rPr>
          <w:rFonts w:hint="eastAsia" w:ascii="仿宋" w:hAnsi="仿宋" w:eastAsia="仿宋" w:cs="仿宋"/>
          <w:spacing w:val="-11"/>
          <w:sz w:val="28"/>
          <w:szCs w:val="28"/>
          <w:highlight w:val="none"/>
          <w:lang w:val="en-US" w:eastAsia="zh-CN"/>
        </w:rPr>
        <w:t>-88928067</w:t>
      </w:r>
      <w:r>
        <w:rPr>
          <w:rFonts w:hint="eastAsia" w:ascii="仿宋" w:hAnsi="仿宋" w:eastAsia="仿宋" w:cs="仿宋"/>
          <w:spacing w:val="-11"/>
          <w:sz w:val="28"/>
          <w:szCs w:val="28"/>
          <w:highlight w:val="none"/>
          <w:lang w:eastAsia="zh-CN"/>
        </w:rPr>
        <w:t>，99941896</w:t>
      </w:r>
    </w:p>
    <w:p w14:paraId="44D277BE">
      <w:pPr>
        <w:spacing w:after="0" w:line="240" w:lineRule="auto"/>
        <w:rPr>
          <w:rFonts w:eastAsia="仿宋"/>
          <w:sz w:val="24"/>
          <w:highlight w:val="none"/>
          <w:lang w:val="mn-MN"/>
        </w:rPr>
      </w:pPr>
      <w:r>
        <w:rPr>
          <w:rFonts w:eastAsia="仿宋"/>
          <w:sz w:val="24"/>
          <w:highlight w:val="none"/>
          <w:lang w:val="mn-MN"/>
        </w:rPr>
        <w:t xml:space="preserve">Цахим хаяг: </w:t>
      </w:r>
      <w:r>
        <w:rPr>
          <w:color w:val="auto"/>
          <w:highlight w:val="none"/>
        </w:rPr>
        <w:fldChar w:fldCharType="begin"/>
      </w:r>
      <w:r>
        <w:rPr>
          <w:color w:val="auto"/>
          <w:highlight w:val="none"/>
        </w:rPr>
        <w:instrText xml:space="preserve"> HYPERLINK "mailto:xxkbj@xxkbid.com" </w:instrText>
      </w:r>
      <w:r>
        <w:rPr>
          <w:color w:val="auto"/>
          <w:highlight w:val="none"/>
        </w:rPr>
        <w:fldChar w:fldCharType="separate"/>
      </w:r>
      <w:r>
        <w:rPr>
          <w:rStyle w:val="23"/>
          <w:rFonts w:hint="eastAsia" w:ascii="仿宋" w:hAnsi="仿宋" w:eastAsia="仿宋" w:cs="仿宋"/>
          <w:color w:val="auto"/>
          <w:spacing w:val="-2"/>
          <w:sz w:val="28"/>
          <w:szCs w:val="28"/>
          <w:highlight w:val="none"/>
        </w:rPr>
        <w:t>xxkbj@xxkbid.com</w:t>
      </w:r>
      <w:r>
        <w:rPr>
          <w:rStyle w:val="23"/>
          <w:rFonts w:hint="eastAsia" w:ascii="仿宋" w:hAnsi="仿宋" w:eastAsia="仿宋" w:cs="仿宋"/>
          <w:color w:val="auto"/>
          <w:spacing w:val="-2"/>
          <w:sz w:val="28"/>
          <w:szCs w:val="28"/>
          <w:highlight w:val="none"/>
        </w:rPr>
        <w:fldChar w:fldCharType="end"/>
      </w:r>
    </w:p>
    <w:p w14:paraId="4D4DF252">
      <w:pPr>
        <w:spacing w:after="0" w:line="240" w:lineRule="auto"/>
        <w:rPr>
          <w:rFonts w:eastAsia="仿宋"/>
          <w:sz w:val="24"/>
          <w:highlight w:val="none"/>
          <w:lang w:val="mn-MN"/>
        </w:rPr>
      </w:pPr>
      <w:r>
        <w:rPr>
          <w:rFonts w:eastAsia="仿宋"/>
          <w:sz w:val="24"/>
          <w:highlight w:val="none"/>
          <w:lang w:val="mn-MN"/>
        </w:rPr>
        <w:t>Хаяг: Монгол улс, Дорнод аймаг, Дашбалбар сум, Шинь Шинь ХХК-ний Улааны уурхай .</w:t>
      </w:r>
    </w:p>
    <w:p w14:paraId="6C801D48">
      <w:pPr>
        <w:spacing w:after="0" w:line="240" w:lineRule="auto"/>
        <w:rPr>
          <w:rFonts w:eastAsia="仿宋"/>
          <w:sz w:val="24"/>
          <w:highlight w:val="none"/>
          <w:lang w:val="mn-MN"/>
        </w:rPr>
      </w:pPr>
    </w:p>
    <w:p w14:paraId="5300408C">
      <w:pPr>
        <w:spacing w:after="0" w:line="240" w:lineRule="auto"/>
        <w:rPr>
          <w:rFonts w:eastAsia="仿宋"/>
          <w:sz w:val="24"/>
          <w:highlight w:val="none"/>
          <w:lang w:val="mn-MN"/>
        </w:rPr>
      </w:pPr>
    </w:p>
    <w:p w14:paraId="425334C2">
      <w:pPr>
        <w:spacing w:after="0" w:line="240" w:lineRule="auto"/>
        <w:rPr>
          <w:rFonts w:eastAsia="仿宋"/>
          <w:sz w:val="24"/>
          <w:highlight w:val="none"/>
          <w:lang w:val="mn-MN"/>
        </w:rPr>
      </w:pPr>
    </w:p>
    <w:p w14:paraId="1844A0CA">
      <w:pPr>
        <w:spacing w:after="0" w:line="240" w:lineRule="auto"/>
        <w:rPr>
          <w:rFonts w:eastAsia="仿宋"/>
          <w:sz w:val="24"/>
          <w:highlight w:val="none"/>
          <w:lang w:val="mn-MN"/>
        </w:rPr>
      </w:pPr>
    </w:p>
    <w:p w14:paraId="57C24409">
      <w:pPr>
        <w:spacing w:after="0" w:line="240" w:lineRule="auto"/>
        <w:rPr>
          <w:rFonts w:eastAsia="仿宋"/>
          <w:sz w:val="24"/>
          <w:lang w:val="mn-MN"/>
        </w:rPr>
      </w:pPr>
    </w:p>
    <w:p w14:paraId="708D4D7E">
      <w:pPr>
        <w:spacing w:after="0" w:line="240" w:lineRule="auto"/>
        <w:rPr>
          <w:rFonts w:eastAsia="仿宋"/>
          <w:sz w:val="24"/>
          <w:lang w:val="mn-MN"/>
        </w:rPr>
      </w:pPr>
    </w:p>
    <w:p w14:paraId="63478A64">
      <w:pPr>
        <w:spacing w:after="0" w:line="240" w:lineRule="auto"/>
        <w:rPr>
          <w:rFonts w:eastAsia="仿宋"/>
          <w:sz w:val="24"/>
          <w:lang w:val="mn-MN"/>
        </w:rPr>
      </w:pPr>
    </w:p>
    <w:p w14:paraId="00D98D6B">
      <w:pPr>
        <w:spacing w:after="0" w:line="240" w:lineRule="auto"/>
        <w:rPr>
          <w:rFonts w:eastAsia="仿宋"/>
          <w:sz w:val="24"/>
          <w:lang w:val="mn-MN"/>
        </w:rPr>
      </w:pPr>
    </w:p>
    <w:p w14:paraId="72C23F47">
      <w:pPr>
        <w:spacing w:after="0" w:line="240" w:lineRule="auto"/>
        <w:rPr>
          <w:rFonts w:eastAsia="仿宋"/>
          <w:sz w:val="24"/>
          <w:lang w:val="mn-MN"/>
        </w:rPr>
      </w:pPr>
    </w:p>
    <w:p w14:paraId="11F37118">
      <w:pPr>
        <w:spacing w:after="0" w:line="240" w:lineRule="auto"/>
        <w:rPr>
          <w:rFonts w:eastAsia="仿宋"/>
          <w:sz w:val="24"/>
          <w:lang w:val="mn-MN"/>
        </w:rPr>
      </w:pPr>
    </w:p>
    <w:p w14:paraId="0F60C333">
      <w:pPr>
        <w:spacing w:after="0" w:line="240" w:lineRule="auto"/>
        <w:rPr>
          <w:rFonts w:eastAsia="仿宋"/>
          <w:sz w:val="24"/>
          <w:lang w:val="mn-MN"/>
        </w:rPr>
      </w:pPr>
    </w:p>
    <w:p w14:paraId="1BD399B2">
      <w:pPr>
        <w:spacing w:after="0" w:line="240" w:lineRule="auto"/>
        <w:rPr>
          <w:rFonts w:eastAsia="仿宋"/>
          <w:sz w:val="24"/>
          <w:lang w:val="mn-MN"/>
        </w:rPr>
      </w:pPr>
    </w:p>
    <w:p w14:paraId="46BCB664">
      <w:pPr>
        <w:spacing w:after="0" w:line="240" w:lineRule="auto"/>
        <w:rPr>
          <w:rFonts w:eastAsia="仿宋"/>
          <w:sz w:val="24"/>
          <w:lang w:val="mn-MN"/>
        </w:rPr>
      </w:pPr>
    </w:p>
    <w:p w14:paraId="3000156B">
      <w:pPr>
        <w:spacing w:after="0" w:line="240" w:lineRule="auto"/>
        <w:rPr>
          <w:rFonts w:eastAsia="仿宋"/>
          <w:sz w:val="24"/>
          <w:lang w:val="mn-MN"/>
        </w:rPr>
      </w:pPr>
    </w:p>
    <w:p w14:paraId="571C95C1">
      <w:pPr>
        <w:spacing w:after="0" w:line="240" w:lineRule="auto"/>
        <w:rPr>
          <w:rFonts w:eastAsia="仿宋"/>
          <w:sz w:val="24"/>
          <w:lang w:val="mn-MN"/>
        </w:rPr>
      </w:pPr>
    </w:p>
    <w:p w14:paraId="0B38D9D1">
      <w:pPr>
        <w:spacing w:after="0" w:line="240" w:lineRule="auto"/>
        <w:rPr>
          <w:rFonts w:eastAsia="仿宋"/>
          <w:sz w:val="24"/>
          <w:lang w:val="mn-MN"/>
        </w:rPr>
      </w:pPr>
    </w:p>
    <w:p w14:paraId="2185B3BA">
      <w:pPr>
        <w:spacing w:after="0" w:line="240" w:lineRule="auto"/>
        <w:rPr>
          <w:rFonts w:eastAsia="仿宋"/>
          <w:sz w:val="24"/>
          <w:lang w:val="mn-MN"/>
        </w:rPr>
      </w:pPr>
    </w:p>
    <w:p w14:paraId="2512FD55">
      <w:pPr>
        <w:spacing w:after="0" w:line="240" w:lineRule="auto"/>
        <w:rPr>
          <w:rFonts w:eastAsia="仿宋"/>
          <w:sz w:val="24"/>
          <w:lang w:val="mn-MN"/>
        </w:rPr>
      </w:pPr>
    </w:p>
    <w:p w14:paraId="64310F99">
      <w:pPr>
        <w:spacing w:after="0" w:line="240" w:lineRule="auto"/>
        <w:rPr>
          <w:rFonts w:eastAsia="仿宋"/>
          <w:sz w:val="24"/>
          <w:lang w:val="mn-MN"/>
        </w:rPr>
      </w:pPr>
    </w:p>
    <w:p w14:paraId="097C3687">
      <w:pPr>
        <w:spacing w:after="0" w:line="240" w:lineRule="auto"/>
        <w:rPr>
          <w:rFonts w:eastAsia="仿宋"/>
          <w:sz w:val="24"/>
          <w:lang w:val="mn-MN"/>
        </w:rPr>
      </w:pPr>
    </w:p>
    <w:p w14:paraId="5010453B">
      <w:pPr>
        <w:spacing w:after="0" w:line="240" w:lineRule="auto"/>
        <w:rPr>
          <w:rFonts w:eastAsia="仿宋"/>
          <w:sz w:val="24"/>
          <w:lang w:val="mn-MN"/>
        </w:rPr>
      </w:pPr>
    </w:p>
    <w:p w14:paraId="1C8C3F2C">
      <w:pPr>
        <w:spacing w:after="0" w:line="240" w:lineRule="auto"/>
        <w:rPr>
          <w:rFonts w:eastAsia="仿宋"/>
          <w:sz w:val="24"/>
          <w:lang w:val="mn-MN"/>
        </w:rPr>
      </w:pPr>
    </w:p>
    <w:p w14:paraId="44D17FDC">
      <w:pPr>
        <w:spacing w:after="0" w:line="240" w:lineRule="auto"/>
        <w:rPr>
          <w:rFonts w:eastAsia="仿宋"/>
          <w:sz w:val="24"/>
          <w:lang w:val="mn-MN"/>
        </w:rPr>
      </w:pPr>
    </w:p>
    <w:p w14:paraId="19A67E36">
      <w:pPr>
        <w:spacing w:after="0" w:line="240" w:lineRule="auto"/>
        <w:rPr>
          <w:rFonts w:eastAsia="仿宋"/>
          <w:sz w:val="24"/>
          <w:lang w:val="mn-MN"/>
        </w:rPr>
      </w:pPr>
    </w:p>
    <w:p w14:paraId="2BB9273D">
      <w:pPr>
        <w:spacing w:after="0" w:line="240" w:lineRule="auto"/>
        <w:rPr>
          <w:rFonts w:eastAsia="仿宋"/>
          <w:sz w:val="24"/>
          <w:lang w:val="mn-MN"/>
        </w:rPr>
      </w:pPr>
    </w:p>
    <w:p w14:paraId="1AD3D33C">
      <w:pPr>
        <w:spacing w:after="0" w:line="240" w:lineRule="auto"/>
        <w:rPr>
          <w:rFonts w:eastAsia="仿宋"/>
          <w:sz w:val="24"/>
          <w:lang w:val="mn-MN"/>
        </w:rPr>
      </w:pPr>
    </w:p>
    <w:p w14:paraId="07D62393">
      <w:pPr>
        <w:spacing w:after="0" w:line="240" w:lineRule="auto"/>
        <w:rPr>
          <w:rFonts w:eastAsia="仿宋"/>
          <w:sz w:val="24"/>
          <w:lang w:val="mn-MN"/>
        </w:rPr>
      </w:pPr>
    </w:p>
    <w:p w14:paraId="314DA3E7">
      <w:pPr>
        <w:spacing w:after="0" w:line="240" w:lineRule="auto"/>
        <w:rPr>
          <w:rFonts w:eastAsia="仿宋"/>
          <w:sz w:val="24"/>
          <w:lang w:val="mn-MN"/>
        </w:rPr>
      </w:pPr>
    </w:p>
    <w:p w14:paraId="387A6613">
      <w:pPr>
        <w:spacing w:after="0" w:line="240" w:lineRule="auto"/>
        <w:rPr>
          <w:rFonts w:eastAsia="仿宋"/>
          <w:sz w:val="24"/>
          <w:lang w:val="mn-MN"/>
        </w:rPr>
      </w:pPr>
      <w:r>
        <w:rPr>
          <w:rFonts w:eastAsia="仿宋"/>
          <w:sz w:val="24"/>
          <w:lang w:val="mn-MN"/>
        </w:rPr>
        <w:t xml:space="preserve"> </w:t>
      </w:r>
    </w:p>
    <w:p w14:paraId="23E82C3A">
      <w:pPr>
        <w:spacing w:after="0" w:line="240" w:lineRule="auto"/>
        <w:rPr>
          <w:rFonts w:eastAsia="仿宋"/>
          <w:sz w:val="24"/>
          <w:lang w:val="mn-MN"/>
        </w:rPr>
      </w:pPr>
    </w:p>
    <w:bookmarkEnd w:id="6"/>
    <w:p w14:paraId="40EE7379">
      <w:pPr>
        <w:spacing w:line="240" w:lineRule="auto"/>
        <w:rPr>
          <w:sz w:val="24"/>
          <w:lang w:val="mn-MN"/>
        </w:rPr>
      </w:pPr>
      <w:bookmarkStart w:id="7" w:name="_Toc462760552"/>
    </w:p>
    <w:p w14:paraId="4F8284E1">
      <w:pPr>
        <w:spacing w:line="240" w:lineRule="auto"/>
        <w:rPr>
          <w:sz w:val="24"/>
          <w:lang w:val="mn-MN"/>
        </w:rPr>
      </w:pPr>
    </w:p>
    <w:p w14:paraId="7ABA3BB7">
      <w:pPr>
        <w:spacing w:line="240" w:lineRule="auto"/>
        <w:rPr>
          <w:sz w:val="24"/>
          <w:lang w:val="mn-MN"/>
        </w:rPr>
      </w:pPr>
    </w:p>
    <w:p w14:paraId="0B1AEFD7">
      <w:pPr>
        <w:spacing w:line="240" w:lineRule="auto"/>
        <w:rPr>
          <w:sz w:val="24"/>
          <w:lang w:val="mn-MN"/>
        </w:rPr>
      </w:pPr>
    </w:p>
    <w:p w14:paraId="361784A7">
      <w:pPr>
        <w:spacing w:line="240" w:lineRule="auto"/>
        <w:rPr>
          <w:sz w:val="24"/>
          <w:lang w:val="mn-MN"/>
        </w:rPr>
      </w:pPr>
    </w:p>
    <w:p w14:paraId="712D2A67">
      <w:pPr>
        <w:spacing w:line="240" w:lineRule="auto"/>
        <w:rPr>
          <w:b/>
          <w:sz w:val="24"/>
          <w:lang w:val="mn-MN"/>
        </w:rPr>
      </w:pPr>
      <w:r>
        <w:rPr>
          <w:b/>
          <w:sz w:val="24"/>
          <w:lang w:val="mn-MN"/>
        </w:rPr>
        <w:t xml:space="preserve">Хавсралт 1-1: Тендерийн баримт бичгийн загвар </w:t>
      </w:r>
    </w:p>
    <w:p w14:paraId="32109E2A">
      <w:pPr>
        <w:spacing w:line="240" w:lineRule="auto"/>
        <w:rPr>
          <w:sz w:val="24"/>
          <w:lang w:val="mn-MN"/>
        </w:rPr>
      </w:pPr>
    </w:p>
    <w:p w14:paraId="54E580A1">
      <w:pPr>
        <w:spacing w:line="240" w:lineRule="auto"/>
        <w:rPr>
          <w:sz w:val="24"/>
          <w:lang w:val="mn-MN"/>
        </w:rPr>
      </w:pPr>
    </w:p>
    <w:p w14:paraId="44032B77">
      <w:pPr>
        <w:spacing w:line="240" w:lineRule="auto"/>
        <w:rPr>
          <w:sz w:val="24"/>
          <w:lang w:val="mn-MN"/>
        </w:rPr>
      </w:pPr>
    </w:p>
    <w:p w14:paraId="5B416A36">
      <w:pPr>
        <w:spacing w:line="240" w:lineRule="auto"/>
        <w:rPr>
          <w:sz w:val="24"/>
          <w:lang w:val="mn-MN"/>
        </w:rPr>
      </w:pPr>
    </w:p>
    <w:p w14:paraId="6E0DAE41">
      <w:pPr>
        <w:spacing w:line="240" w:lineRule="auto"/>
        <w:rPr>
          <w:sz w:val="24"/>
          <w:lang w:val="mn-MN"/>
        </w:rPr>
      </w:pPr>
    </w:p>
    <w:p w14:paraId="510135A4">
      <w:pPr>
        <w:spacing w:line="240" w:lineRule="auto"/>
        <w:rPr>
          <w:sz w:val="24"/>
          <w:lang w:val="mn-MN"/>
        </w:rPr>
      </w:pPr>
    </w:p>
    <w:p w14:paraId="751A32C6">
      <w:pPr>
        <w:spacing w:line="240" w:lineRule="auto"/>
        <w:rPr>
          <w:sz w:val="24"/>
          <w:lang w:val="mn-MN"/>
        </w:rPr>
      </w:pPr>
    </w:p>
    <w:p w14:paraId="133DE1B6">
      <w:pPr>
        <w:spacing w:line="240" w:lineRule="auto"/>
        <w:rPr>
          <w:sz w:val="24"/>
          <w:lang w:val="mn-MN"/>
        </w:rPr>
      </w:pPr>
    </w:p>
    <w:p w14:paraId="112AB2BD">
      <w:pPr>
        <w:spacing w:line="240" w:lineRule="auto"/>
        <w:rPr>
          <w:sz w:val="24"/>
          <w:lang w:val="mn-MN"/>
        </w:rPr>
      </w:pPr>
    </w:p>
    <w:p w14:paraId="190E4F4B">
      <w:pPr>
        <w:spacing w:line="240" w:lineRule="auto"/>
        <w:rPr>
          <w:sz w:val="24"/>
          <w:lang w:val="mn-MN"/>
        </w:rPr>
      </w:pPr>
    </w:p>
    <w:p w14:paraId="02A11222">
      <w:pPr>
        <w:spacing w:line="240" w:lineRule="auto"/>
        <w:jc w:val="center"/>
        <w:rPr>
          <w:b/>
          <w:sz w:val="56"/>
          <w:lang w:val="mn-MN"/>
        </w:rPr>
      </w:pPr>
      <w:r>
        <w:rPr>
          <w:b/>
          <w:sz w:val="56"/>
          <w:lang w:val="mn-MN"/>
        </w:rPr>
        <w:t>Тендерийн баримт бичиг</w:t>
      </w:r>
    </w:p>
    <w:p w14:paraId="52920E41">
      <w:pPr>
        <w:spacing w:line="240" w:lineRule="auto"/>
        <w:rPr>
          <w:sz w:val="24"/>
          <w:lang w:val="mn-MN"/>
        </w:rPr>
      </w:pPr>
    </w:p>
    <w:p w14:paraId="2061FA48">
      <w:pPr>
        <w:spacing w:line="240" w:lineRule="auto"/>
        <w:rPr>
          <w:sz w:val="24"/>
          <w:lang w:val="mn-MN"/>
        </w:rPr>
      </w:pPr>
    </w:p>
    <w:p w14:paraId="646D0DBB">
      <w:pPr>
        <w:spacing w:line="240" w:lineRule="auto"/>
        <w:rPr>
          <w:sz w:val="24"/>
          <w:lang w:val="mn-MN"/>
        </w:rPr>
      </w:pPr>
    </w:p>
    <w:p w14:paraId="356198C0">
      <w:pPr>
        <w:spacing w:line="240" w:lineRule="auto"/>
        <w:rPr>
          <w:sz w:val="24"/>
          <w:lang w:val="mn-MN"/>
        </w:rPr>
      </w:pPr>
    </w:p>
    <w:p w14:paraId="08258C64">
      <w:pPr>
        <w:spacing w:line="240" w:lineRule="auto"/>
        <w:rPr>
          <w:sz w:val="24"/>
          <w:lang w:val="mn-MN"/>
        </w:rPr>
      </w:pPr>
    </w:p>
    <w:p w14:paraId="3D41311D">
      <w:pPr>
        <w:spacing w:line="240" w:lineRule="auto"/>
        <w:rPr>
          <w:sz w:val="24"/>
          <w:lang w:val="mn-MN"/>
        </w:rPr>
      </w:pPr>
    </w:p>
    <w:p w14:paraId="605D0B76">
      <w:pPr>
        <w:spacing w:line="240" w:lineRule="auto"/>
        <w:rPr>
          <w:sz w:val="24"/>
          <w:lang w:val="mn-MN"/>
        </w:rPr>
      </w:pPr>
    </w:p>
    <w:p w14:paraId="56603B0B">
      <w:pPr>
        <w:spacing w:line="240" w:lineRule="auto"/>
        <w:rPr>
          <w:sz w:val="24"/>
          <w:lang w:val="mn-MN"/>
        </w:rPr>
      </w:pPr>
    </w:p>
    <w:p w14:paraId="3AFEAA43">
      <w:pPr>
        <w:spacing w:line="240" w:lineRule="auto"/>
        <w:rPr>
          <w:sz w:val="24"/>
          <w:lang w:val="mn-MN"/>
        </w:rPr>
      </w:pPr>
    </w:p>
    <w:p w14:paraId="45C40DB7">
      <w:pPr>
        <w:spacing w:line="240" w:lineRule="auto"/>
        <w:rPr>
          <w:sz w:val="24"/>
          <w:lang w:val="mn-MN"/>
        </w:rPr>
      </w:pPr>
      <w:r>
        <w:rPr>
          <w:sz w:val="24"/>
          <w:lang w:val="mn-MN"/>
        </w:rPr>
        <w:t xml:space="preserve">Тендерийн дугаар: </w:t>
      </w:r>
    </w:p>
    <w:p w14:paraId="4EFDD50B">
      <w:pPr>
        <w:spacing w:line="240" w:lineRule="auto"/>
        <w:rPr>
          <w:sz w:val="24"/>
          <w:lang w:val="mn-MN"/>
        </w:rPr>
      </w:pPr>
      <w:r>
        <w:rPr>
          <w:sz w:val="24"/>
          <w:lang w:val="mn-MN"/>
        </w:rPr>
        <w:t xml:space="preserve">Төслийн нэр: </w:t>
      </w:r>
    </w:p>
    <w:p w14:paraId="47BBCDB6">
      <w:pPr>
        <w:spacing w:line="240" w:lineRule="auto"/>
        <w:rPr>
          <w:sz w:val="24"/>
          <w:lang w:val="mn-MN"/>
        </w:rPr>
      </w:pPr>
      <w:r>
        <w:rPr>
          <w:sz w:val="24"/>
          <w:lang w:val="mn-MN"/>
        </w:rPr>
        <w:t>Тендерт оролцогч:</w:t>
      </w:r>
    </w:p>
    <w:p w14:paraId="76AA6B7D">
      <w:pPr>
        <w:spacing w:line="240" w:lineRule="auto"/>
        <w:rPr>
          <w:sz w:val="24"/>
          <w:lang w:val="mn-MN"/>
        </w:rPr>
      </w:pPr>
      <w:r>
        <w:rPr>
          <w:sz w:val="24"/>
          <w:lang w:val="mn-MN"/>
        </w:rPr>
        <w:t>Бүрэн эрхт төлөөлөгч:</w:t>
      </w:r>
    </w:p>
    <w:p w14:paraId="2B247660">
      <w:pPr>
        <w:spacing w:line="240" w:lineRule="auto"/>
        <w:rPr>
          <w:sz w:val="24"/>
          <w:lang w:val="mn-MN"/>
        </w:rPr>
      </w:pPr>
      <w:r>
        <w:rPr>
          <w:sz w:val="24"/>
          <w:lang w:val="mn-MN"/>
        </w:rPr>
        <w:t>Огноо:</w:t>
      </w:r>
    </w:p>
    <w:p w14:paraId="624E2BA0">
      <w:pPr>
        <w:spacing w:line="240" w:lineRule="auto"/>
        <w:rPr>
          <w:sz w:val="24"/>
          <w:lang w:val="mn-MN"/>
        </w:rPr>
      </w:pPr>
    </w:p>
    <w:p w14:paraId="7F757A2D">
      <w:pPr>
        <w:spacing w:line="240" w:lineRule="auto"/>
        <w:rPr>
          <w:sz w:val="24"/>
          <w:lang w:val="mn-MN"/>
        </w:rPr>
      </w:pPr>
    </w:p>
    <w:p w14:paraId="72A1835C">
      <w:pPr>
        <w:spacing w:line="240" w:lineRule="auto"/>
        <w:rPr>
          <w:b/>
          <w:sz w:val="24"/>
          <w:lang w:val="mn-MN"/>
        </w:rPr>
      </w:pPr>
      <w:r>
        <w:rPr>
          <w:b/>
          <w:sz w:val="24"/>
          <w:lang w:val="mn-MN"/>
        </w:rPr>
        <w:t>Хавсрат 1-2: Тендерийн бичиг</w:t>
      </w:r>
    </w:p>
    <w:p w14:paraId="7B0FB578">
      <w:pPr>
        <w:spacing w:line="240" w:lineRule="auto"/>
        <w:rPr>
          <w:sz w:val="24"/>
          <w:lang w:val="mn-MN"/>
        </w:rPr>
      </w:pPr>
    </w:p>
    <w:p w14:paraId="4B335261">
      <w:pPr>
        <w:spacing w:line="240" w:lineRule="auto"/>
        <w:jc w:val="center"/>
        <w:rPr>
          <w:b/>
          <w:sz w:val="32"/>
          <w:lang w:val="mn-MN"/>
        </w:rPr>
      </w:pPr>
      <w:r>
        <w:rPr>
          <w:b/>
          <w:sz w:val="32"/>
          <w:lang w:val="mn-MN"/>
        </w:rPr>
        <w:t>Тендерийн баримт бичиг</w:t>
      </w:r>
    </w:p>
    <w:p w14:paraId="110BE644">
      <w:pPr>
        <w:spacing w:line="240" w:lineRule="auto"/>
        <w:rPr>
          <w:sz w:val="24"/>
          <w:lang w:val="mn-MN"/>
        </w:rPr>
      </w:pPr>
      <w:r>
        <w:rPr>
          <w:sz w:val="24"/>
          <w:lang w:val="mn-MN"/>
        </w:rPr>
        <w:t>Хэнд: Шинь шинь ХХК</w:t>
      </w:r>
    </w:p>
    <w:p w14:paraId="29CFAC01">
      <w:pPr>
        <w:spacing w:line="240" w:lineRule="auto"/>
        <w:ind w:firstLine="420"/>
        <w:rPr>
          <w:sz w:val="24"/>
          <w:lang w:val="mn-MN"/>
        </w:rPr>
      </w:pPr>
      <w:r>
        <w:rPr>
          <w:sz w:val="24"/>
          <w:lang w:val="mn-MN"/>
        </w:rPr>
        <w:t xml:space="preserve">Танай компани </w:t>
      </w:r>
      <w:r>
        <w:rPr>
          <w:b/>
          <w:sz w:val="24"/>
        </w:rPr>
        <w:t>XXQBYS202</w:t>
      </w:r>
      <w:r>
        <w:rPr>
          <w:rFonts w:hint="eastAsia"/>
          <w:b/>
          <w:sz w:val="24"/>
          <w:lang w:val="en-US" w:eastAsia="zh-CN"/>
        </w:rPr>
        <w:t>6</w:t>
      </w:r>
      <w:r>
        <w:rPr>
          <w:b/>
          <w:sz w:val="24"/>
          <w:lang w:val="mn-MN"/>
        </w:rPr>
        <w:t>00</w:t>
      </w:r>
      <w:r>
        <w:rPr>
          <w:rFonts w:hint="eastAsia"/>
          <w:b/>
          <w:sz w:val="24"/>
          <w:lang w:val="en-US" w:eastAsia="zh-CN"/>
        </w:rPr>
        <w:t>3</w:t>
      </w:r>
      <w:r>
        <w:rPr>
          <w:b/>
          <w:sz w:val="24"/>
          <w:lang w:val="mn-MN"/>
        </w:rPr>
        <w:t xml:space="preserve"> </w:t>
      </w:r>
      <w:r>
        <w:rPr>
          <w:sz w:val="24"/>
          <w:lang w:val="mn-MN"/>
        </w:rPr>
        <w:t xml:space="preserve">тоот тендер зарласны дагуу манай компани тендерийн баримт бичиг болон холбогдох хавсралтуудыг нарийвчлан уншиж судлаад, тендерийн баримт бичигт заасан зүйл заалт болон гэрээний шаардлагыг хүлээн зөвшөөрч тендерт оролцогчийн бүрэн эрхт төлөөлөгч （ Овог нэр, албан тушаал ） болон тендерт оролцогчийн албан ёсны төлөөлөгч бөгөөд тендерт оролцогчийн төлөөлөгч （ Тендерт оролцогчийн бүтэн нэр ）дараах баримт бичгийг илгээж байна. </w:t>
      </w:r>
    </w:p>
    <w:p w14:paraId="600E13B4">
      <w:pPr>
        <w:pStyle w:val="47"/>
        <w:numPr>
          <w:ilvl w:val="0"/>
          <w:numId w:val="9"/>
        </w:numPr>
        <w:spacing w:line="240" w:lineRule="auto"/>
        <w:ind w:firstLineChars="0"/>
        <w:rPr>
          <w:rFonts w:ascii="Times New Roman" w:hAnsi="Times New Roman" w:cs="Times New Roman"/>
          <w:sz w:val="24"/>
          <w:szCs w:val="24"/>
          <w:lang w:val="mn-MN"/>
        </w:rPr>
      </w:pPr>
      <w:r>
        <w:rPr>
          <w:rFonts w:ascii="Times New Roman" w:hAnsi="Times New Roman" w:cs="Times New Roman"/>
          <w:sz w:val="24"/>
          <w:szCs w:val="24"/>
          <w:lang w:val="mn-MN"/>
        </w:rPr>
        <w:t xml:space="preserve">Тендерийн бичиг </w:t>
      </w:r>
    </w:p>
    <w:p w14:paraId="0F0A35D2">
      <w:pPr>
        <w:pStyle w:val="47"/>
        <w:numPr>
          <w:ilvl w:val="0"/>
          <w:numId w:val="9"/>
        </w:numPr>
        <w:spacing w:line="240" w:lineRule="auto"/>
        <w:ind w:firstLineChars="0"/>
        <w:rPr>
          <w:rFonts w:ascii="Times New Roman" w:hAnsi="Times New Roman" w:cs="Times New Roman"/>
          <w:sz w:val="24"/>
          <w:szCs w:val="24"/>
          <w:lang w:val="mn-MN"/>
        </w:rPr>
      </w:pPr>
      <w:r>
        <w:rPr>
          <w:rFonts w:ascii="Times New Roman" w:hAnsi="Times New Roman" w:cs="Times New Roman"/>
          <w:sz w:val="24"/>
          <w:szCs w:val="24"/>
          <w:lang w:val="mn-MN"/>
        </w:rPr>
        <w:t>Үнийн саналын хүснэгт</w:t>
      </w:r>
    </w:p>
    <w:p w14:paraId="01B0007F">
      <w:pPr>
        <w:pStyle w:val="47"/>
        <w:numPr>
          <w:ilvl w:val="0"/>
          <w:numId w:val="9"/>
        </w:numPr>
        <w:spacing w:line="240" w:lineRule="auto"/>
        <w:ind w:firstLineChars="0"/>
        <w:rPr>
          <w:rFonts w:ascii="Times New Roman" w:hAnsi="Times New Roman" w:cs="Times New Roman"/>
          <w:sz w:val="24"/>
          <w:szCs w:val="24"/>
          <w:lang w:val="mn-MN"/>
        </w:rPr>
      </w:pPr>
      <w:r>
        <w:rPr>
          <w:rFonts w:ascii="Times New Roman" w:hAnsi="Times New Roman" w:cs="Times New Roman"/>
          <w:sz w:val="24"/>
          <w:szCs w:val="24"/>
          <w:lang w:val="mn-MN"/>
        </w:rPr>
        <w:t>Гэрчилгээ болон баримт бичиг</w:t>
      </w:r>
    </w:p>
    <w:p w14:paraId="0F68A833">
      <w:pPr>
        <w:spacing w:line="240" w:lineRule="auto"/>
        <w:rPr>
          <w:sz w:val="24"/>
          <w:lang w:val="mn-MN"/>
        </w:rPr>
      </w:pPr>
      <w:r>
        <w:rPr>
          <w:sz w:val="24"/>
          <w:lang w:val="mn-MN"/>
        </w:rPr>
        <w:t xml:space="preserve">Урилгыг үндэслэн гарын үсэг зурсан төлөөлөгч дараах зүйлсийг зөвшөөрч байгаа гэдгээ мэдэгдэнэ: </w:t>
      </w:r>
    </w:p>
    <w:p w14:paraId="66260BB0">
      <w:pPr>
        <w:spacing w:line="240" w:lineRule="auto"/>
        <w:ind w:firstLine="120" w:firstLineChars="50"/>
        <w:rPr>
          <w:sz w:val="24"/>
          <w:lang w:val="mn-MN"/>
        </w:rPr>
      </w:pPr>
      <w:r>
        <w:rPr>
          <w:sz w:val="24"/>
          <w:lang w:val="mn-MN"/>
        </w:rPr>
        <w:t xml:space="preserve"> (1) Тендерт оролцогч тендерийн баримт бичгийн заалтын дагуу гэрээний үүрэг, хариуцлагаа хүлээнэ.</w:t>
      </w:r>
    </w:p>
    <w:p w14:paraId="2B0FCDEB">
      <w:pPr>
        <w:spacing w:line="240" w:lineRule="auto"/>
        <w:rPr>
          <w:sz w:val="24"/>
          <w:lang w:val="mn-MN"/>
        </w:rPr>
      </w:pPr>
      <w:r>
        <w:rPr>
          <w:sz w:val="24"/>
          <w:lang w:val="mn-MN"/>
        </w:rPr>
        <w:t>(2) Тендерт оролцогч тендерийн бүх баримт бичгийн агуулга, болон баримт бичигт оруулсан нэмэлт өөрчлөлт (хэрэв байгаа бол), холбогдох хавсралтуудыг сайтар судалж, бүрэн ойлгосон болно.</w:t>
      </w:r>
    </w:p>
    <w:p w14:paraId="1597E37F">
      <w:pPr>
        <w:spacing w:line="240" w:lineRule="auto"/>
        <w:rPr>
          <w:sz w:val="24"/>
          <w:lang w:val="mn-MN"/>
        </w:rPr>
      </w:pPr>
      <w:r>
        <w:rPr>
          <w:sz w:val="24"/>
          <w:lang w:val="mn-MN"/>
        </w:rPr>
        <w:t>(3) Тендерт оролцогч нь гэрээний үүрэг, хариуцлагаа хэрэгжүүлэхэд компанийн нэр хүнд болон барьцаа мөнгийг баталгаа болгон ашиглахыг зөвшөөрнө.</w:t>
      </w:r>
    </w:p>
    <w:p w14:paraId="01E4B2A4">
      <w:pPr>
        <w:spacing w:line="240" w:lineRule="auto"/>
        <w:rPr>
          <w:sz w:val="24"/>
          <w:lang w:val="mn-MN"/>
        </w:rPr>
      </w:pPr>
      <w:r>
        <w:rPr>
          <w:sz w:val="24"/>
          <w:lang w:val="mn-MN"/>
        </w:rPr>
        <w:t xml:space="preserve">(4) Тендерт оролцогч тендер зарлагчаас шаардагдах тендертэй холбоотой бүх мэдээллийг өгөхийг зөвшөөрч, тендерийн үнэлгээний комисс тендерийн хамгийн бага үнийг заавал хүлээж авах албагүй гэдгийг бүрэн ойлгох. </w:t>
      </w:r>
    </w:p>
    <w:p w14:paraId="522ED499">
      <w:pPr>
        <w:spacing w:line="240" w:lineRule="auto"/>
        <w:rPr>
          <w:sz w:val="24"/>
          <w:lang w:val="mn-MN"/>
        </w:rPr>
      </w:pPr>
      <w:r>
        <w:rPr>
          <w:sz w:val="24"/>
          <w:lang w:val="mn-MN"/>
        </w:rPr>
        <w:t>(5) Энэхүү тендертэй холбоотой бүх албан захидлыг шуудангаар илгээнэ.</w:t>
      </w:r>
    </w:p>
    <w:p w14:paraId="1C906331">
      <w:pPr>
        <w:spacing w:line="240" w:lineRule="auto"/>
        <w:rPr>
          <w:sz w:val="24"/>
          <w:lang w:val="mn-MN"/>
        </w:rPr>
      </w:pPr>
      <w:r>
        <w:rPr>
          <w:sz w:val="24"/>
          <w:lang w:val="mn-MN"/>
        </w:rPr>
        <w:t xml:space="preserve">Шуудангын хаяг: </w:t>
      </w:r>
    </w:p>
    <w:p w14:paraId="2011B70D">
      <w:pPr>
        <w:spacing w:line="240" w:lineRule="auto"/>
        <w:rPr>
          <w:sz w:val="24"/>
          <w:lang w:val="mn-MN"/>
        </w:rPr>
      </w:pPr>
      <w:r>
        <w:rPr>
          <w:sz w:val="24"/>
          <w:lang w:val="mn-MN"/>
        </w:rPr>
        <w:t xml:space="preserve">Утасны дугаар:                  </w:t>
      </w:r>
    </w:p>
    <w:p w14:paraId="0970CD71">
      <w:pPr>
        <w:spacing w:line="240" w:lineRule="auto"/>
        <w:rPr>
          <w:sz w:val="24"/>
          <w:lang w:val="mn-MN"/>
        </w:rPr>
      </w:pPr>
      <w:r>
        <w:rPr>
          <w:sz w:val="24"/>
          <w:lang w:val="mn-MN"/>
        </w:rPr>
        <w:t xml:space="preserve">Факс: </w:t>
      </w:r>
    </w:p>
    <w:p w14:paraId="75DC497F">
      <w:pPr>
        <w:spacing w:line="240" w:lineRule="auto"/>
        <w:rPr>
          <w:sz w:val="24"/>
          <w:lang w:val="mn-MN"/>
        </w:rPr>
      </w:pPr>
      <w:r>
        <w:rPr>
          <w:sz w:val="24"/>
          <w:lang w:val="mn-MN"/>
        </w:rPr>
        <w:t>Бүрэн эрхт төлөөлөгчийн гарын үсэг:</w:t>
      </w:r>
    </w:p>
    <w:p w14:paraId="7EEA1A50">
      <w:pPr>
        <w:spacing w:line="240" w:lineRule="auto"/>
        <w:rPr>
          <w:sz w:val="24"/>
          <w:u w:val="single"/>
          <w:lang w:val="mn-MN"/>
        </w:rPr>
      </w:pPr>
      <w:r>
        <w:rPr>
          <w:sz w:val="24"/>
          <w:lang w:val="mn-MN"/>
        </w:rPr>
        <w:t xml:space="preserve">Бүрэн эрхт төлөөлөгчийн овог нэр, албан тушаал（Хуулбар）: </w:t>
      </w:r>
    </w:p>
    <w:p w14:paraId="4494EFBC">
      <w:pPr>
        <w:spacing w:line="240" w:lineRule="auto"/>
        <w:rPr>
          <w:sz w:val="24"/>
          <w:u w:val="single"/>
          <w:lang w:val="mn-MN"/>
        </w:rPr>
      </w:pPr>
      <w:r>
        <w:rPr>
          <w:sz w:val="24"/>
          <w:lang w:val="mn-MN"/>
        </w:rPr>
        <w:t xml:space="preserve">Тендерт оролцогчийн нэр（Албан ёсны тамга тэмдэг）: </w:t>
      </w:r>
    </w:p>
    <w:p w14:paraId="1DF7738B">
      <w:pPr>
        <w:spacing w:line="240" w:lineRule="auto"/>
        <w:rPr>
          <w:b/>
          <w:sz w:val="24"/>
          <w:lang w:val="mn-MN"/>
        </w:rPr>
        <w:sectPr>
          <w:pgSz w:w="11907" w:h="16840"/>
          <w:pgMar w:top="1440" w:right="1418" w:bottom="1418" w:left="1440" w:header="851" w:footer="992" w:gutter="0"/>
          <w:cols w:space="425" w:num="1"/>
          <w:docGrid w:type="lines" w:linePitch="285" w:charSpace="0"/>
        </w:sectPr>
      </w:pPr>
    </w:p>
    <w:p w14:paraId="2C2FD848">
      <w:pPr>
        <w:spacing w:line="240" w:lineRule="auto"/>
        <w:rPr>
          <w:b/>
          <w:sz w:val="24"/>
          <w:lang w:val="mn-MN"/>
        </w:rPr>
      </w:pPr>
      <w:r>
        <w:rPr>
          <w:b/>
          <w:sz w:val="24"/>
          <w:lang w:val="mn-MN"/>
        </w:rPr>
        <w:t>Хавсралт 1-3  Тендерийн үнийн саналын хүснэгт</w:t>
      </w:r>
    </w:p>
    <w:p w14:paraId="56C0F301">
      <w:pPr>
        <w:spacing w:line="240" w:lineRule="auto"/>
        <w:jc w:val="center"/>
        <w:rPr>
          <w:b/>
          <w:sz w:val="28"/>
          <w:lang w:val="mn-MN"/>
        </w:rPr>
      </w:pPr>
      <w:r>
        <w:rPr>
          <w:b/>
          <w:sz w:val="28"/>
          <w:lang w:val="mn-MN"/>
        </w:rPr>
        <w:t>Тээврийн үнийн саналын хүснэгт</w:t>
      </w:r>
    </w:p>
    <w:tbl>
      <w:tblPr>
        <w:tblStyle w:val="1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8328"/>
      </w:tblGrid>
      <w:tr w14:paraId="3061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4F8229C">
            <w:pPr>
              <w:spacing w:line="240" w:lineRule="auto"/>
              <w:jc w:val="center"/>
              <w:rPr>
                <w:sz w:val="24"/>
                <w:lang w:val="mn-MN"/>
              </w:rPr>
            </w:pPr>
            <w:r>
              <w:rPr>
                <w:sz w:val="24"/>
                <w:lang w:val="mn-MN"/>
              </w:rPr>
              <w:t>Үйлчлүүлэг-чийн нэр</w:t>
            </w:r>
          </w:p>
        </w:tc>
        <w:tc>
          <w:tcPr>
            <w:tcW w:w="8328" w:type="dxa"/>
          </w:tcPr>
          <w:p w14:paraId="41D87A03">
            <w:pPr>
              <w:spacing w:line="240" w:lineRule="auto"/>
              <w:rPr>
                <w:sz w:val="24"/>
                <w:lang w:val="mn-MN"/>
              </w:rPr>
            </w:pPr>
            <w:r>
              <w:rPr>
                <w:sz w:val="24"/>
                <w:lang w:val="mn-MN"/>
              </w:rPr>
              <w:t>Шинь Шинь ХХК</w:t>
            </w:r>
          </w:p>
        </w:tc>
      </w:tr>
      <w:tr w14:paraId="49BF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178CEB4">
            <w:pPr>
              <w:spacing w:line="240" w:lineRule="auto"/>
              <w:jc w:val="center"/>
              <w:rPr>
                <w:sz w:val="24"/>
                <w:lang w:val="mn-MN"/>
              </w:rPr>
            </w:pPr>
            <w:r>
              <w:rPr>
                <w:sz w:val="24"/>
                <w:lang w:val="mn-MN"/>
              </w:rPr>
              <w:t>Төслийн тойм</w:t>
            </w:r>
          </w:p>
        </w:tc>
        <w:tc>
          <w:tcPr>
            <w:tcW w:w="8328" w:type="dxa"/>
          </w:tcPr>
          <w:p w14:paraId="532CE97F">
            <w:pPr>
              <w:spacing w:line="240" w:lineRule="auto"/>
              <w:rPr>
                <w:sz w:val="24"/>
                <w:lang w:val="mn-MN"/>
              </w:rPr>
            </w:pPr>
            <w:r>
              <w:rPr>
                <w:sz w:val="24"/>
                <w:lang w:val="mn-MN"/>
              </w:rPr>
              <w:t xml:space="preserve">2 тн-оор савласан баяжмал тээвэрлэлт </w:t>
            </w:r>
          </w:p>
        </w:tc>
      </w:tr>
      <w:tr w14:paraId="04BE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461D7D9">
            <w:pPr>
              <w:spacing w:line="240" w:lineRule="auto"/>
              <w:jc w:val="center"/>
              <w:rPr>
                <w:sz w:val="24"/>
                <w:lang w:val="mn-MN"/>
              </w:rPr>
            </w:pPr>
            <w:r>
              <w:rPr>
                <w:sz w:val="24"/>
                <w:lang w:val="mn-MN"/>
              </w:rPr>
              <w:t>Тээврийн маршрут</w:t>
            </w:r>
          </w:p>
        </w:tc>
        <w:tc>
          <w:tcPr>
            <w:tcW w:w="8328" w:type="dxa"/>
          </w:tcPr>
          <w:p w14:paraId="79C3D43B">
            <w:pPr>
              <w:spacing w:line="240" w:lineRule="auto"/>
              <w:rPr>
                <w:sz w:val="24"/>
              </w:rPr>
            </w:pPr>
            <w:r>
              <w:rPr>
                <w:sz w:val="24"/>
                <w:lang w:val="mn-MN"/>
              </w:rPr>
              <w:t xml:space="preserve">Баянтүмэн </w:t>
            </w:r>
            <w:r>
              <w:rPr>
                <w:sz w:val="24"/>
              </w:rPr>
              <w:t>-</w:t>
            </w:r>
            <w:r>
              <w:rPr>
                <w:sz w:val="24"/>
                <w:lang w:val="mn-MN"/>
              </w:rPr>
              <w:t xml:space="preserve"> Эрээнцав</w:t>
            </w:r>
            <w:r>
              <w:rPr>
                <w:sz w:val="24"/>
              </w:rPr>
              <w:t>（</w:t>
            </w:r>
            <w:r>
              <w:rPr>
                <w:sz w:val="24"/>
                <w:lang w:val="mn-MN"/>
              </w:rPr>
              <w:t>Улаанбаатар төмөр зам</w:t>
            </w:r>
            <w:r>
              <w:rPr>
                <w:sz w:val="24"/>
              </w:rPr>
              <w:t>）——</w:t>
            </w:r>
            <w:r>
              <w:rPr>
                <w:sz w:val="24"/>
                <w:lang w:val="mn-MN"/>
              </w:rPr>
              <w:t xml:space="preserve">Соловьевск Забайкал </w:t>
            </w:r>
            <w:r>
              <w:rPr>
                <w:sz w:val="24"/>
              </w:rPr>
              <w:t>(</w:t>
            </w:r>
            <w:r>
              <w:rPr>
                <w:sz w:val="24"/>
                <w:lang w:val="mn-MN"/>
              </w:rPr>
              <w:t xml:space="preserve">Оросын төмөр зам </w:t>
            </w:r>
            <w:r>
              <w:rPr>
                <w:sz w:val="24"/>
              </w:rPr>
              <w:t>)——</w:t>
            </w:r>
            <w:r>
              <w:rPr>
                <w:sz w:val="24"/>
                <w:lang w:val="mn-MN"/>
              </w:rPr>
              <w:t>Манжуур</w:t>
            </w:r>
            <w:r>
              <w:rPr>
                <w:sz w:val="24"/>
              </w:rPr>
              <w:t>（</w:t>
            </w:r>
            <w:r>
              <w:rPr>
                <w:sz w:val="24"/>
                <w:lang w:val="mn-MN"/>
              </w:rPr>
              <w:t>Хятадын төмөр зам</w:t>
            </w:r>
            <w:r>
              <w:rPr>
                <w:sz w:val="24"/>
              </w:rPr>
              <w:t>）</w:t>
            </w:r>
          </w:p>
        </w:tc>
      </w:tr>
      <w:tr w14:paraId="1315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737D7E6">
            <w:pPr>
              <w:spacing w:line="240" w:lineRule="auto"/>
              <w:jc w:val="center"/>
              <w:rPr>
                <w:sz w:val="24"/>
                <w:lang w:val="mn-MN"/>
              </w:rPr>
            </w:pPr>
            <w:r>
              <w:rPr>
                <w:sz w:val="24"/>
                <w:lang w:val="mn-MN"/>
              </w:rPr>
              <w:t>Тээвэрлэлтийн хэмжээ</w:t>
            </w:r>
          </w:p>
        </w:tc>
        <w:tc>
          <w:tcPr>
            <w:tcW w:w="8328" w:type="dxa"/>
          </w:tcPr>
          <w:p w14:paraId="25ED92E2">
            <w:pPr>
              <w:spacing w:line="240" w:lineRule="auto"/>
              <w:rPr>
                <w:sz w:val="24"/>
                <w:lang w:val="mn-MN"/>
              </w:rPr>
            </w:pPr>
            <w:r>
              <w:rPr>
                <w:sz w:val="24"/>
                <w:lang w:val="mn-MN"/>
              </w:rPr>
              <w:t>66000 тн</w:t>
            </w:r>
          </w:p>
        </w:tc>
      </w:tr>
      <w:tr w14:paraId="4FD5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6007ABE">
            <w:pPr>
              <w:spacing w:line="240" w:lineRule="auto"/>
              <w:jc w:val="center"/>
              <w:rPr>
                <w:sz w:val="24"/>
                <w:lang w:val="mn-MN"/>
              </w:rPr>
            </w:pPr>
            <w:r>
              <w:rPr>
                <w:sz w:val="24"/>
                <w:lang w:val="mn-MN"/>
              </w:rPr>
              <w:t>Хугацаа</w:t>
            </w:r>
          </w:p>
        </w:tc>
        <w:tc>
          <w:tcPr>
            <w:tcW w:w="8328" w:type="dxa"/>
          </w:tcPr>
          <w:p w14:paraId="086ABF08">
            <w:pPr>
              <w:spacing w:line="240" w:lineRule="auto"/>
              <w:rPr>
                <w:sz w:val="24"/>
                <w:lang w:val="mn-MN"/>
              </w:rPr>
            </w:pPr>
            <w:r>
              <w:rPr>
                <w:sz w:val="24"/>
              </w:rPr>
              <w:t>202</w:t>
            </w:r>
            <w:r>
              <w:rPr>
                <w:rFonts w:hint="eastAsia"/>
                <w:sz w:val="24"/>
                <w:lang w:val="en-US" w:eastAsia="zh-CN"/>
              </w:rPr>
              <w:t>6</w:t>
            </w:r>
            <w:r>
              <w:rPr>
                <w:sz w:val="24"/>
                <w:lang w:val="mn-MN"/>
              </w:rPr>
              <w:t xml:space="preserve">он 3 сар </w:t>
            </w:r>
            <w:r>
              <w:rPr>
                <w:sz w:val="24"/>
              </w:rPr>
              <w:t>1</w:t>
            </w:r>
            <w:r>
              <w:rPr>
                <w:sz w:val="24"/>
                <w:lang w:val="mn-MN"/>
              </w:rPr>
              <w:t xml:space="preserve"> өдөр </w:t>
            </w:r>
            <w:r>
              <w:rPr>
                <w:sz w:val="24"/>
              </w:rPr>
              <w:t>–</w:t>
            </w:r>
            <w:r>
              <w:rPr>
                <w:sz w:val="24"/>
                <w:lang w:val="mn-MN"/>
              </w:rPr>
              <w:t xml:space="preserve"> </w:t>
            </w:r>
            <w:r>
              <w:rPr>
                <w:sz w:val="24"/>
              </w:rPr>
              <w:t>202</w:t>
            </w:r>
            <w:r>
              <w:rPr>
                <w:rFonts w:hint="eastAsia"/>
                <w:sz w:val="24"/>
                <w:lang w:val="en-US" w:eastAsia="zh-CN"/>
              </w:rPr>
              <w:t>7</w:t>
            </w:r>
            <w:r>
              <w:rPr>
                <w:sz w:val="24"/>
                <w:lang w:val="mn-MN"/>
              </w:rPr>
              <w:t xml:space="preserve"> он </w:t>
            </w:r>
            <w:r>
              <w:rPr>
                <w:rFonts w:hint="eastAsia"/>
                <w:sz w:val="24"/>
                <w:lang w:val="en-US" w:eastAsia="zh-CN"/>
              </w:rPr>
              <w:t>2</w:t>
            </w:r>
            <w:r>
              <w:rPr>
                <w:sz w:val="24"/>
                <w:lang w:val="mn-MN"/>
              </w:rPr>
              <w:t xml:space="preserve"> сар </w:t>
            </w:r>
            <w:r>
              <w:rPr>
                <w:rFonts w:hint="eastAsia"/>
                <w:sz w:val="24"/>
                <w:lang w:val="en-US" w:eastAsia="zh-CN"/>
              </w:rPr>
              <w:t>28</w:t>
            </w:r>
            <w:r>
              <w:rPr>
                <w:sz w:val="24"/>
                <w:lang w:val="mn-MN"/>
              </w:rPr>
              <w:t>өдөр</w:t>
            </w:r>
          </w:p>
        </w:tc>
      </w:tr>
      <w:tr w14:paraId="5D44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1526" w:type="dxa"/>
            <w:vAlign w:val="center"/>
          </w:tcPr>
          <w:p w14:paraId="47C2E728">
            <w:pPr>
              <w:spacing w:line="240" w:lineRule="auto"/>
              <w:jc w:val="center"/>
              <w:rPr>
                <w:rFonts w:eastAsia="MS Gothic"/>
                <w:sz w:val="24"/>
                <w:lang w:val="mn-MN"/>
              </w:rPr>
            </w:pPr>
            <w:r>
              <w:rPr>
                <w:rFonts w:eastAsia="MS Gothic"/>
                <w:sz w:val="24"/>
                <w:lang w:val="mn-MN"/>
              </w:rPr>
              <w:t>Ү</w:t>
            </w:r>
            <w:r>
              <w:rPr>
                <w:sz w:val="24"/>
                <w:lang w:val="mn-MN"/>
              </w:rPr>
              <w:t>нийн санал</w:t>
            </w:r>
          </w:p>
        </w:tc>
        <w:tc>
          <w:tcPr>
            <w:tcW w:w="8328" w:type="dxa"/>
          </w:tcPr>
          <w:p w14:paraId="472D68A5">
            <w:pPr>
              <w:spacing w:line="240" w:lineRule="auto"/>
              <w:rPr>
                <w:sz w:val="24"/>
              </w:rPr>
            </w:pPr>
            <w:r>
              <w:rPr>
                <w:sz w:val="24"/>
                <w:lang w:val="mn-MN"/>
              </w:rPr>
              <w:t xml:space="preserve">Баянтүмэн </w:t>
            </w:r>
            <w:r>
              <w:rPr>
                <w:sz w:val="24"/>
              </w:rPr>
              <w:t>-</w:t>
            </w:r>
            <w:r>
              <w:rPr>
                <w:sz w:val="24"/>
                <w:lang w:val="mn-MN"/>
              </w:rPr>
              <w:t xml:space="preserve"> Эрээнцав</w:t>
            </w:r>
            <w:r>
              <w:rPr>
                <w:sz w:val="24"/>
              </w:rPr>
              <w:t>（</w:t>
            </w:r>
            <w:r>
              <w:rPr>
                <w:sz w:val="24"/>
                <w:lang w:val="mn-MN"/>
              </w:rPr>
              <w:t>Улаанбаатар төмөр зам</w:t>
            </w:r>
            <w:r>
              <w:rPr>
                <w:sz w:val="24"/>
              </w:rPr>
              <w:t>）</w:t>
            </w:r>
            <w:r>
              <w:rPr>
                <w:sz w:val="24"/>
                <w:u w:val="single"/>
              </w:rPr>
              <w:t xml:space="preserve">    </w:t>
            </w:r>
            <w:r>
              <w:rPr>
                <w:sz w:val="24"/>
                <w:lang w:val="mn-MN"/>
              </w:rPr>
              <w:t>Америк доллар</w:t>
            </w:r>
            <w:r>
              <w:rPr>
                <w:sz w:val="24"/>
              </w:rPr>
              <w:t>（</w:t>
            </w:r>
            <w:r>
              <w:rPr>
                <w:sz w:val="24"/>
                <w:lang w:val="mn-MN"/>
              </w:rPr>
              <w:t>Тээвэрлэлтийн зардал</w:t>
            </w:r>
            <w:r>
              <w:rPr>
                <w:sz w:val="24"/>
              </w:rPr>
              <w:t>）</w:t>
            </w:r>
          </w:p>
          <w:p w14:paraId="76393D32">
            <w:pPr>
              <w:spacing w:line="240" w:lineRule="auto"/>
              <w:rPr>
                <w:sz w:val="24"/>
              </w:rPr>
            </w:pPr>
            <w:r>
              <w:rPr>
                <w:sz w:val="24"/>
                <w:lang w:val="mn-MN"/>
              </w:rPr>
              <w:t xml:space="preserve">Соловьевск Забайкал </w:t>
            </w:r>
            <w:r>
              <w:rPr>
                <w:sz w:val="24"/>
              </w:rPr>
              <w:t>(</w:t>
            </w:r>
            <w:r>
              <w:rPr>
                <w:sz w:val="24"/>
                <w:lang w:val="mn-MN"/>
              </w:rPr>
              <w:t>Орос төмөр зам</w:t>
            </w:r>
            <w:r>
              <w:rPr>
                <w:sz w:val="24"/>
              </w:rPr>
              <w:t>)</w:t>
            </w:r>
            <w:r>
              <w:rPr>
                <w:sz w:val="24"/>
                <w:u w:val="single"/>
              </w:rPr>
              <w:t xml:space="preserve">     </w:t>
            </w:r>
            <w:r>
              <w:rPr>
                <w:sz w:val="24"/>
                <w:lang w:val="mn-MN"/>
              </w:rPr>
              <w:t>Америк доллар</w:t>
            </w:r>
            <w:r>
              <w:rPr>
                <w:sz w:val="24"/>
              </w:rPr>
              <w:t>（</w:t>
            </w:r>
            <w:r>
              <w:rPr>
                <w:sz w:val="24"/>
                <w:lang w:val="mn-MN"/>
              </w:rPr>
              <w:t>Тээвэрлэлтийн зардал</w:t>
            </w:r>
            <w:r>
              <w:rPr>
                <w:sz w:val="24"/>
              </w:rPr>
              <w:t>）</w:t>
            </w:r>
          </w:p>
          <w:p w14:paraId="54D818E9">
            <w:pPr>
              <w:spacing w:line="240" w:lineRule="auto"/>
              <w:rPr>
                <w:b/>
                <w:sz w:val="24"/>
                <w:lang w:val="mn-MN"/>
              </w:rPr>
            </w:pPr>
            <w:r>
              <w:rPr>
                <w:sz w:val="24"/>
                <w:u w:val="single"/>
              </w:rPr>
              <w:t xml:space="preserve">     </w:t>
            </w:r>
            <w:r>
              <w:rPr>
                <w:sz w:val="24"/>
                <w:lang w:val="mn-MN"/>
              </w:rPr>
              <w:t>Америк доллар（Үйлчилгээ болон хил гарах зардал г.м ）</w:t>
            </w:r>
          </w:p>
          <w:p w14:paraId="6AFA6B99">
            <w:pPr>
              <w:spacing w:line="240" w:lineRule="auto"/>
              <w:rPr>
                <w:sz w:val="24"/>
                <w:lang w:val="mn-MN"/>
              </w:rPr>
            </w:pPr>
            <w:r>
              <w:rPr>
                <w:sz w:val="24"/>
                <w:lang w:val="mn-MN"/>
              </w:rPr>
              <w:t>Анхаар</w:t>
            </w:r>
            <w:r>
              <w:rPr>
                <w:sz w:val="24"/>
              </w:rPr>
              <w:t>：</w:t>
            </w:r>
            <w:r>
              <w:rPr>
                <w:sz w:val="24"/>
                <w:lang w:val="mn-MN"/>
              </w:rPr>
              <w:t xml:space="preserve"> Дээрх 3 үнийн саналд Баянтүмэн өртөөнөөс эхлэн эцсийн цэг болох Манжуур хүртлэх бүх төлбөр татварын хамт багтсан болно.</w:t>
            </w:r>
            <w:r>
              <w:rPr>
                <w:sz w:val="24"/>
              </w:rPr>
              <w:t>（</w:t>
            </w:r>
            <w:r>
              <w:rPr>
                <w:sz w:val="24"/>
                <w:lang w:val="mn-MN"/>
              </w:rPr>
              <w:t>Хятад талын төмөр замын зардлаас гадна</w:t>
            </w:r>
            <w:r>
              <w:rPr>
                <w:sz w:val="24"/>
              </w:rPr>
              <w:t>）。</w:t>
            </w:r>
            <w:r>
              <w:rPr>
                <w:sz w:val="24"/>
                <w:lang w:val="mn-MN"/>
              </w:rPr>
              <w:t xml:space="preserve"> Нийт зардал</w:t>
            </w:r>
            <w:r>
              <w:rPr>
                <w:sz w:val="24"/>
              </w:rPr>
              <w:t>：</w:t>
            </w:r>
            <w:r>
              <w:rPr>
                <w:sz w:val="24"/>
                <w:u w:val="single"/>
              </w:rPr>
              <w:t xml:space="preserve">      </w:t>
            </w:r>
            <w:r>
              <w:rPr>
                <w:sz w:val="24"/>
                <w:lang w:val="mn-MN"/>
              </w:rPr>
              <w:t xml:space="preserve">Америк доллар </w:t>
            </w:r>
            <w:r>
              <w:rPr>
                <w:sz w:val="24"/>
              </w:rPr>
              <w:t>/</w:t>
            </w:r>
            <w:r>
              <w:rPr>
                <w:sz w:val="24"/>
                <w:lang w:val="mn-MN"/>
              </w:rPr>
              <w:t xml:space="preserve"> тн</w:t>
            </w:r>
          </w:p>
        </w:tc>
      </w:tr>
      <w:tr w14:paraId="6001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526" w:type="dxa"/>
            <w:vAlign w:val="center"/>
          </w:tcPr>
          <w:p w14:paraId="0C3B31AA">
            <w:pPr>
              <w:spacing w:line="240" w:lineRule="auto"/>
              <w:jc w:val="center"/>
              <w:rPr>
                <w:sz w:val="24"/>
                <w:lang w:val="mn-MN"/>
              </w:rPr>
            </w:pPr>
            <w:r>
              <w:rPr>
                <w:sz w:val="24"/>
                <w:lang w:val="mn-MN"/>
              </w:rPr>
              <w:t>Гэрээ хэрэгжилтйн баталгаа</w:t>
            </w:r>
          </w:p>
        </w:tc>
        <w:tc>
          <w:tcPr>
            <w:tcW w:w="8328" w:type="dxa"/>
          </w:tcPr>
          <w:p w14:paraId="790BE1EC">
            <w:pPr>
              <w:spacing w:line="240" w:lineRule="auto"/>
              <w:rPr>
                <w:sz w:val="24"/>
              </w:rPr>
            </w:pPr>
          </w:p>
          <w:p w14:paraId="3385A73F">
            <w:pPr>
              <w:spacing w:line="240" w:lineRule="auto"/>
              <w:rPr>
                <w:sz w:val="24"/>
                <w:lang w:val="mn-MN"/>
              </w:rPr>
            </w:pPr>
            <w:r>
              <w:rPr>
                <w:sz w:val="24"/>
                <w:lang w:val="mn-MN"/>
              </w:rPr>
              <w:t>Баталгааны хэлбэр</w:t>
            </w:r>
            <w:r>
              <w:rPr>
                <w:sz w:val="24"/>
                <w:u w:val="single"/>
              </w:rPr>
              <w:t xml:space="preserve">       </w:t>
            </w:r>
            <w:r>
              <w:rPr>
                <w:sz w:val="24"/>
              </w:rPr>
              <w:t>，</w:t>
            </w:r>
            <w:r>
              <w:rPr>
                <w:sz w:val="24"/>
                <w:lang w:val="mn-MN"/>
              </w:rPr>
              <w:t>Баталгааны дүн</w:t>
            </w:r>
            <w:r>
              <w:rPr>
                <w:sz w:val="24"/>
                <w:u w:val="single"/>
              </w:rPr>
              <w:t xml:space="preserve">       </w:t>
            </w:r>
            <w:r>
              <w:rPr>
                <w:sz w:val="24"/>
                <w:lang w:val="mn-MN"/>
              </w:rPr>
              <w:t>Америк доллар</w:t>
            </w:r>
          </w:p>
        </w:tc>
      </w:tr>
      <w:tr w14:paraId="0574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526" w:type="dxa"/>
            <w:vAlign w:val="center"/>
          </w:tcPr>
          <w:p w14:paraId="6F9F2014">
            <w:pPr>
              <w:spacing w:line="240" w:lineRule="auto"/>
              <w:jc w:val="center"/>
              <w:rPr>
                <w:sz w:val="24"/>
                <w:lang w:val="mn-MN"/>
              </w:rPr>
            </w:pPr>
            <w:r>
              <w:rPr>
                <w:sz w:val="24"/>
                <w:lang w:val="mn-MN"/>
              </w:rPr>
              <w:t>Тайлбар</w:t>
            </w:r>
          </w:p>
        </w:tc>
        <w:tc>
          <w:tcPr>
            <w:tcW w:w="8328" w:type="dxa"/>
          </w:tcPr>
          <w:p w14:paraId="303D3DBB">
            <w:pPr>
              <w:spacing w:line="240" w:lineRule="auto"/>
              <w:rPr>
                <w:sz w:val="24"/>
              </w:rPr>
            </w:pPr>
          </w:p>
        </w:tc>
      </w:tr>
    </w:tbl>
    <w:p w14:paraId="515D0031">
      <w:pPr>
        <w:spacing w:line="240" w:lineRule="auto"/>
        <w:rPr>
          <w:sz w:val="24"/>
          <w:lang w:val="mn-MN"/>
        </w:rPr>
        <w:sectPr>
          <w:pgSz w:w="11907" w:h="16840"/>
          <w:pgMar w:top="1440" w:right="1418" w:bottom="1418" w:left="1440" w:header="851" w:footer="992" w:gutter="0"/>
          <w:cols w:space="425" w:num="1"/>
          <w:docGrid w:type="lines" w:linePitch="286" w:charSpace="0"/>
        </w:sectPr>
      </w:pPr>
    </w:p>
    <w:p w14:paraId="407380C8">
      <w:pPr>
        <w:spacing w:line="240" w:lineRule="auto"/>
        <w:rPr>
          <w:b/>
          <w:sz w:val="24"/>
          <w:lang w:val="mn-MN"/>
        </w:rPr>
      </w:pPr>
      <w:r>
        <w:rPr>
          <w:b/>
          <w:sz w:val="24"/>
          <w:lang w:val="mn-MN"/>
        </w:rPr>
        <w:t xml:space="preserve">Хавсралт 1-4  </w:t>
      </w:r>
    </w:p>
    <w:p w14:paraId="03278B1B">
      <w:pPr>
        <w:spacing w:line="240" w:lineRule="auto"/>
        <w:ind w:firstLine="2800" w:firstLineChars="1000"/>
        <w:rPr>
          <w:b/>
          <w:sz w:val="28"/>
          <w:lang w:val="mn-MN"/>
        </w:rPr>
      </w:pPr>
      <w:r>
        <w:rPr>
          <w:b/>
          <w:sz w:val="28"/>
          <w:lang w:val="mn-MN"/>
        </w:rPr>
        <w:t>Нэг. Хууль ёсны төлөөлөгчийн итгэмжлэл</w:t>
      </w:r>
    </w:p>
    <w:p w14:paraId="764ACE06">
      <w:pPr>
        <w:spacing w:line="240" w:lineRule="auto"/>
        <w:rPr>
          <w:sz w:val="24"/>
          <w:lang w:val="mn-MN"/>
        </w:rPr>
      </w:pPr>
      <w:r>
        <w:rPr>
          <w:sz w:val="24"/>
          <w:lang w:val="mn-MN"/>
        </w:rPr>
        <w:t>（Тендерт оролцогч байгуулгын нэр）Хууль ёсны төлөөлөгч</w:t>
      </w:r>
    </w:p>
    <w:p w14:paraId="51DA736D">
      <w:pPr>
        <w:spacing w:line="240" w:lineRule="auto"/>
        <w:rPr>
          <w:sz w:val="24"/>
          <w:lang w:val="mn-MN"/>
        </w:rPr>
      </w:pPr>
      <w:r>
        <w:rPr>
          <w:sz w:val="24"/>
          <w:lang w:val="mn-MN"/>
        </w:rPr>
        <w:t>（</w:t>
      </w:r>
      <w:r>
        <w:rPr>
          <w:sz w:val="24"/>
        </w:rPr>
        <w:t xml:space="preserve"> </w:t>
      </w:r>
      <w:r>
        <w:rPr>
          <w:sz w:val="24"/>
          <w:lang w:val="mn-MN"/>
        </w:rPr>
        <w:t>Овог нэр, албан тушаал ）( Бүрэн эрхт төлөөлөгчийн нэр, албан тушаал ) Бүрэн эрхт төлөөлөгч тус компаний зохион байгуулж байгаа тендерт оролцож байгаа бөгөөд тендерийн дугаар нь (</w:t>
      </w:r>
      <w:r>
        <w:rPr>
          <w:b/>
          <w:sz w:val="24"/>
        </w:rPr>
        <w:t>XXQBYS202</w:t>
      </w:r>
      <w:r>
        <w:rPr>
          <w:rFonts w:hint="eastAsia"/>
          <w:b/>
          <w:sz w:val="24"/>
          <w:lang w:val="en-US" w:eastAsia="zh-CN"/>
        </w:rPr>
        <w:t>6</w:t>
      </w:r>
      <w:r>
        <w:rPr>
          <w:b/>
          <w:sz w:val="24"/>
          <w:lang w:val="mn-MN"/>
        </w:rPr>
        <w:t>00</w:t>
      </w:r>
      <w:r>
        <w:rPr>
          <w:rFonts w:hint="eastAsia"/>
          <w:b/>
          <w:sz w:val="24"/>
          <w:lang w:val="en-US" w:eastAsia="zh-CN"/>
        </w:rPr>
        <w:t>3</w:t>
      </w:r>
      <w:r>
        <w:rPr>
          <w:sz w:val="24"/>
          <w:lang w:val="mn-MN"/>
        </w:rPr>
        <w:t>) түүнчлэн тендерийн үйл ажиллагаатай холбоотой бүх асуудлыг байгуулгынхаа нэрийн өмнөөс зохицуулна.</w:t>
      </w:r>
    </w:p>
    <w:p w14:paraId="15CF6373">
      <w:pPr>
        <w:spacing w:line="240" w:lineRule="auto"/>
        <w:rPr>
          <w:sz w:val="24"/>
          <w:lang w:val="mn-MN"/>
        </w:rPr>
      </w:pPr>
    </w:p>
    <w:p w14:paraId="1AC3DD76">
      <w:pPr>
        <w:spacing w:line="240" w:lineRule="auto"/>
        <w:rPr>
          <w:sz w:val="24"/>
          <w:lang w:val="mn-MN"/>
        </w:rPr>
      </w:pPr>
      <w:r>
        <w:rPr>
          <w:sz w:val="24"/>
          <w:lang w:val="mn-MN"/>
        </w:rPr>
        <w:t>Хууль ёсны төлөөлөгчийн гарын үсэг:</w:t>
      </w:r>
    </w:p>
    <w:p w14:paraId="3B7206A9">
      <w:pPr>
        <w:spacing w:line="240" w:lineRule="auto"/>
        <w:rPr>
          <w:sz w:val="24"/>
          <w:lang w:val="mn-MN"/>
        </w:rPr>
      </w:pPr>
      <w:r>
        <w:rPr>
          <w:sz w:val="24"/>
          <w:lang w:val="mn-MN"/>
        </w:rPr>
        <w:t xml:space="preserve">Хууль ёсны төлөөлөгчийн овог нэр, албан тушаал（Хуулбар）: </w:t>
      </w:r>
    </w:p>
    <w:p w14:paraId="319155DE">
      <w:pPr>
        <w:spacing w:line="240" w:lineRule="auto"/>
        <w:rPr>
          <w:sz w:val="24"/>
          <w:lang w:val="mn-MN"/>
        </w:rPr>
      </w:pPr>
      <w:r>
        <w:rPr>
          <w:sz w:val="24"/>
          <w:lang w:val="mn-MN"/>
        </w:rPr>
        <w:t>Тендерт оролцогч байгуулгын нэр: （Албан ёсны тамга тэмдэг）</w:t>
      </w:r>
    </w:p>
    <w:p w14:paraId="4ECD8016">
      <w:pPr>
        <w:spacing w:line="240" w:lineRule="auto"/>
        <w:rPr>
          <w:sz w:val="24"/>
          <w:lang w:val="mn-MN"/>
        </w:rPr>
      </w:pPr>
    </w:p>
    <w:p w14:paraId="778CF63C">
      <w:pPr>
        <w:spacing w:line="240" w:lineRule="auto"/>
        <w:rPr>
          <w:b/>
          <w:sz w:val="24"/>
          <w:lang w:val="mn-MN"/>
        </w:rPr>
      </w:pPr>
      <w:r>
        <w:rPr>
          <w:b/>
          <w:sz w:val="24"/>
          <w:lang w:val="mn-MN"/>
        </w:rPr>
        <w:t xml:space="preserve">Хавсралт: Тендерт оролцогч бүрэн эрхт төлөөлөгчийн байдал: </w:t>
      </w:r>
    </w:p>
    <w:p w14:paraId="27AF3154">
      <w:pPr>
        <w:spacing w:line="240" w:lineRule="auto"/>
        <w:rPr>
          <w:b/>
          <w:sz w:val="24"/>
          <w:lang w:val="mn-MN"/>
        </w:rPr>
      </w:pPr>
    </w:p>
    <w:p w14:paraId="16F72ACB">
      <w:pPr>
        <w:spacing w:line="240" w:lineRule="auto"/>
        <w:rPr>
          <w:sz w:val="24"/>
          <w:lang w:val="mn-MN"/>
        </w:rPr>
      </w:pPr>
      <w:r>
        <w:rPr>
          <w:sz w:val="24"/>
          <w:lang w:val="mn-MN"/>
        </w:rPr>
        <w:t xml:space="preserve">Овон нэр:                                       Албан тушаал: </w:t>
      </w:r>
    </w:p>
    <w:p w14:paraId="7A9A9EED">
      <w:pPr>
        <w:spacing w:line="240" w:lineRule="auto"/>
        <w:rPr>
          <w:sz w:val="24"/>
          <w:lang w:val="mn-MN"/>
        </w:rPr>
      </w:pPr>
      <w:r>
        <w:rPr>
          <w:sz w:val="24"/>
          <w:lang w:val="mn-MN"/>
        </w:rPr>
        <w:t xml:space="preserve">Хаяг: </w:t>
      </w:r>
    </w:p>
    <w:p w14:paraId="3049BD58">
      <w:pPr>
        <w:spacing w:line="240" w:lineRule="auto"/>
        <w:rPr>
          <w:sz w:val="24"/>
          <w:lang w:val="mn-MN"/>
        </w:rPr>
      </w:pPr>
      <w:r>
        <w:rPr>
          <w:sz w:val="24"/>
          <w:lang w:val="mn-MN"/>
        </w:rPr>
        <w:t>Шуудангийн код:                                 Факс:</w:t>
      </w:r>
    </w:p>
    <w:p w14:paraId="16AA7A22">
      <w:pPr>
        <w:spacing w:line="240" w:lineRule="auto"/>
        <w:rPr>
          <w:sz w:val="24"/>
          <w:lang w:val="mn-MN"/>
        </w:rPr>
      </w:pPr>
      <w:r>
        <w:rPr>
          <w:sz w:val="24"/>
          <w:lang w:val="mn-MN"/>
        </w:rPr>
        <w:t xml:space="preserve">Утас:                                           Гар утас: </w:t>
      </w:r>
    </w:p>
    <w:p w14:paraId="07B4E1A5">
      <w:pPr>
        <w:spacing w:line="240" w:lineRule="auto"/>
        <w:rPr>
          <w:sz w:val="24"/>
          <w:lang w:val="mn-MN"/>
        </w:rPr>
      </w:pPr>
    </w:p>
    <w:p w14:paraId="77E16B32">
      <w:pPr>
        <w:spacing w:line="240" w:lineRule="auto"/>
        <w:rPr>
          <w:sz w:val="24"/>
          <w:lang w:val="mn-MN"/>
        </w:rPr>
      </w:pPr>
    </w:p>
    <w:p w14:paraId="1EF9641B">
      <w:pPr>
        <w:spacing w:line="240" w:lineRule="auto"/>
        <w:rPr>
          <w:sz w:val="24"/>
          <w:lang w:val="mn-MN"/>
        </w:rPr>
      </w:pPr>
    </w:p>
    <w:p w14:paraId="43F690BB">
      <w:pPr>
        <w:spacing w:line="240" w:lineRule="auto"/>
        <w:rPr>
          <w:sz w:val="24"/>
          <w:lang w:val="mn-MN"/>
        </w:rPr>
      </w:pPr>
    </w:p>
    <w:p w14:paraId="2CCF4773">
      <w:pPr>
        <w:spacing w:line="240" w:lineRule="auto"/>
        <w:rPr>
          <w:sz w:val="24"/>
          <w:lang w:val="mn-MN"/>
        </w:rPr>
      </w:pPr>
    </w:p>
    <w:p w14:paraId="45F0A47E">
      <w:pPr>
        <w:spacing w:line="240" w:lineRule="auto"/>
        <w:rPr>
          <w:sz w:val="24"/>
          <w:lang w:val="mn-MN"/>
        </w:rPr>
      </w:pPr>
    </w:p>
    <w:p w14:paraId="7B9801F7">
      <w:pPr>
        <w:spacing w:line="240" w:lineRule="auto"/>
        <w:rPr>
          <w:sz w:val="24"/>
          <w:lang w:val="mn-MN"/>
        </w:rPr>
      </w:pPr>
    </w:p>
    <w:p w14:paraId="44A34546">
      <w:pPr>
        <w:spacing w:line="240" w:lineRule="auto"/>
        <w:rPr>
          <w:sz w:val="24"/>
          <w:lang w:val="mn-MN"/>
        </w:rPr>
      </w:pPr>
    </w:p>
    <w:p w14:paraId="68C8658B">
      <w:pPr>
        <w:spacing w:line="240" w:lineRule="auto"/>
        <w:rPr>
          <w:sz w:val="24"/>
          <w:lang w:val="mn-MN"/>
        </w:rPr>
      </w:pPr>
    </w:p>
    <w:p w14:paraId="323DAC43">
      <w:pPr>
        <w:spacing w:line="240" w:lineRule="auto"/>
        <w:rPr>
          <w:sz w:val="24"/>
          <w:lang w:val="mn-MN"/>
        </w:rPr>
      </w:pPr>
    </w:p>
    <w:p w14:paraId="485C991D">
      <w:pPr>
        <w:spacing w:line="240" w:lineRule="auto"/>
        <w:jc w:val="center"/>
        <w:rPr>
          <w:b/>
          <w:sz w:val="24"/>
          <w:lang w:val="mn-MN"/>
        </w:rPr>
      </w:pPr>
      <w:r>
        <w:rPr>
          <w:b/>
          <w:sz w:val="32"/>
          <w:lang w:val="mn-MN"/>
        </w:rPr>
        <w:t>Хоёр. Хуулийн этгээдийн талаар мэдээллийн хуудас</w:t>
      </w:r>
    </w:p>
    <w:p w14:paraId="45A3446A">
      <w:pPr>
        <w:spacing w:line="240" w:lineRule="auto"/>
        <w:rPr>
          <w:sz w:val="24"/>
          <w:lang w:val="mn-MN"/>
        </w:rPr>
      </w:pPr>
    </w:p>
    <w:p w14:paraId="5F411C98">
      <w:pPr>
        <w:spacing w:line="240" w:lineRule="auto"/>
        <w:rPr>
          <w:sz w:val="24"/>
          <w:lang w:val="mn-MN"/>
        </w:rPr>
      </w:pPr>
      <w:r>
        <w:rPr>
          <w:sz w:val="24"/>
          <w:lang w:val="mn-MN"/>
        </w:rPr>
        <w:t>Тендерт оролцогч байгуулгын нэр:</w:t>
      </w:r>
    </w:p>
    <w:p w14:paraId="48E6CEF6">
      <w:pPr>
        <w:spacing w:line="240" w:lineRule="auto"/>
        <w:rPr>
          <w:sz w:val="24"/>
          <w:lang w:val="mn-MN"/>
        </w:rPr>
      </w:pPr>
      <w:r>
        <w:rPr>
          <w:sz w:val="24"/>
          <w:lang w:val="mn-MN"/>
        </w:rPr>
        <w:t>ААН-ийн гэрчилгээний дугаар:</w:t>
      </w:r>
    </w:p>
    <w:p w14:paraId="2AD7BFD6">
      <w:pPr>
        <w:spacing w:line="240" w:lineRule="auto"/>
        <w:rPr>
          <w:sz w:val="24"/>
          <w:lang w:val="mn-MN"/>
        </w:rPr>
      </w:pPr>
      <w:r>
        <w:rPr>
          <w:sz w:val="24"/>
          <w:lang w:val="mn-MN"/>
        </w:rPr>
        <w:t>Хууль ёсны төлөөлөгч:</w:t>
      </w:r>
    </w:p>
    <w:p w14:paraId="5E5D9300">
      <w:pPr>
        <w:spacing w:line="240" w:lineRule="auto"/>
        <w:rPr>
          <w:sz w:val="24"/>
          <w:lang w:val="mn-MN"/>
        </w:rPr>
      </w:pPr>
      <w:r>
        <w:rPr>
          <w:sz w:val="24"/>
          <w:lang w:val="mn-MN"/>
        </w:rPr>
        <w:t>Тусгай зөвшөөрөл олгосон байгууллага:</w:t>
      </w:r>
    </w:p>
    <w:p w14:paraId="37B2424D">
      <w:pPr>
        <w:spacing w:line="240" w:lineRule="auto"/>
        <w:rPr>
          <w:sz w:val="24"/>
          <w:lang w:val="mn-MN"/>
        </w:rPr>
      </w:pPr>
      <w:r>
        <w:rPr>
          <w:sz w:val="24"/>
          <w:lang w:val="mn-MN"/>
        </w:rPr>
        <w:t>Олгосон огноо:</w:t>
      </w:r>
    </w:p>
    <w:p w14:paraId="45C924E2">
      <w:pPr>
        <w:spacing w:line="240" w:lineRule="auto"/>
        <w:rPr>
          <w:sz w:val="24"/>
          <w:lang w:val="mn-MN"/>
        </w:rPr>
      </w:pPr>
      <w:r>
        <w:rPr>
          <w:sz w:val="24"/>
          <w:lang w:val="mn-MN"/>
        </w:rPr>
        <w:t>Хаяг:</w:t>
      </w:r>
    </w:p>
    <w:p w14:paraId="59B00DBF">
      <w:pPr>
        <w:spacing w:line="240" w:lineRule="auto"/>
        <w:rPr>
          <w:sz w:val="24"/>
          <w:lang w:val="mn-MN"/>
        </w:rPr>
      </w:pPr>
      <w:r>
        <w:rPr>
          <w:sz w:val="24"/>
          <w:lang w:val="mn-MN"/>
        </w:rPr>
        <w:t>Татвар төлөгчийн дугаар:</w:t>
      </w:r>
    </w:p>
    <w:p w14:paraId="2781A1A8">
      <w:pPr>
        <w:spacing w:line="240" w:lineRule="auto"/>
        <w:rPr>
          <w:sz w:val="24"/>
          <w:lang w:val="mn-MN"/>
        </w:rPr>
      </w:pPr>
    </w:p>
    <w:p w14:paraId="5F8E1276">
      <w:pPr>
        <w:spacing w:line="240" w:lineRule="auto"/>
        <w:jc w:val="center"/>
        <w:rPr>
          <w:sz w:val="24"/>
          <w:lang w:val="mn-MN"/>
        </w:rPr>
      </w:pPr>
      <w:r>
        <w:rPr>
          <w:sz w:val="24"/>
          <w:lang w:val="mn-MN"/>
        </w:rPr>
        <w:t>Байгуулга（Тамга）：</w:t>
      </w:r>
    </w:p>
    <w:p w14:paraId="08C60EE0">
      <w:pPr>
        <w:spacing w:line="240" w:lineRule="auto"/>
        <w:rPr>
          <w:sz w:val="24"/>
          <w:lang w:val="mn-MN"/>
        </w:rPr>
      </w:pPr>
    </w:p>
    <w:p w14:paraId="2ABE1F47">
      <w:pPr>
        <w:spacing w:line="240" w:lineRule="auto"/>
        <w:jc w:val="right"/>
        <w:rPr>
          <w:sz w:val="24"/>
          <w:lang w:val="mn-MN"/>
        </w:rPr>
      </w:pPr>
      <w:r>
        <w:rPr>
          <w:sz w:val="24"/>
          <w:lang w:val="mn-MN"/>
        </w:rPr>
        <w:t>Он сар өдөр</w:t>
      </w:r>
    </w:p>
    <w:p w14:paraId="5ADFAED1">
      <w:pPr>
        <w:spacing w:line="240" w:lineRule="auto"/>
        <w:rPr>
          <w:sz w:val="24"/>
          <w:lang w:val="mn-MN"/>
        </w:rPr>
      </w:pPr>
    </w:p>
    <w:p w14:paraId="06DDF465">
      <w:pPr>
        <w:spacing w:line="240" w:lineRule="auto"/>
        <w:rPr>
          <w:sz w:val="24"/>
          <w:lang w:val="mn-MN"/>
        </w:rPr>
      </w:pPr>
    </w:p>
    <w:p w14:paraId="2BCD916E">
      <w:pPr>
        <w:spacing w:line="240" w:lineRule="auto"/>
        <w:rPr>
          <w:sz w:val="24"/>
          <w:lang w:val="mn-MN"/>
        </w:rPr>
        <w:sectPr>
          <w:pgSz w:w="11906" w:h="16838"/>
          <w:pgMar w:top="1418" w:right="1418" w:bottom="1418" w:left="1134" w:header="851" w:footer="992" w:gutter="0"/>
          <w:cols w:space="720" w:num="1"/>
          <w:docGrid w:type="linesAndChars" w:linePitch="285" w:charSpace="0"/>
        </w:sectPr>
      </w:pPr>
      <w:r>
        <w:rPr>
          <w:sz w:val="24"/>
          <w:lang w:val="mn-MN"/>
        </w:rPr>
        <w:t>（Хавсралт: ААН-ийн гэрчилгээний хуулбар, Татварын бүртгэлийн гэрчилгээний хуулбар, болон зам тээвэрийн гэрчилгээний хуулбар зэрэг）</w:t>
      </w:r>
    </w:p>
    <w:p w14:paraId="258FE96E">
      <w:pPr>
        <w:spacing w:line="240" w:lineRule="auto"/>
        <w:jc w:val="center"/>
        <w:rPr>
          <w:b/>
          <w:sz w:val="32"/>
          <w:lang w:val="mn-MN"/>
        </w:rPr>
      </w:pPr>
      <w:r>
        <w:rPr>
          <w:b/>
          <w:sz w:val="32"/>
          <w:lang w:val="mn-MN"/>
        </w:rPr>
        <w:t>Гурав. Тендерт оролцогч байгуулгын мэдээллийн хуудас</w:t>
      </w:r>
    </w:p>
    <w:p w14:paraId="58791E71">
      <w:pPr>
        <w:spacing w:line="240" w:lineRule="auto"/>
        <w:rPr>
          <w:b/>
          <w:bCs/>
          <w:sz w:val="24"/>
          <w:lang w:val="mn-MN"/>
        </w:rPr>
      </w:pPr>
      <w:r>
        <w:rPr>
          <w:b/>
          <w:bCs/>
          <w:sz w:val="24"/>
          <w:lang w:val="mn-MN"/>
        </w:rPr>
        <w:t>1.Тендерт оролцогч байгууллага болон бүтэц зохион байгуулалт</w:t>
      </w:r>
    </w:p>
    <w:p w14:paraId="367DC844">
      <w:pPr>
        <w:pStyle w:val="47"/>
        <w:numPr>
          <w:ilvl w:val="1"/>
          <w:numId w:val="8"/>
        </w:numPr>
        <w:spacing w:line="240" w:lineRule="auto"/>
        <w:ind w:firstLineChars="0"/>
        <w:rPr>
          <w:rFonts w:ascii="Times New Roman" w:hAnsi="Times New Roman" w:cs="Times New Roman"/>
          <w:bCs/>
          <w:sz w:val="24"/>
          <w:szCs w:val="24"/>
          <w:lang w:val="mn-MN"/>
        </w:rPr>
      </w:pPr>
      <w:r>
        <w:rPr>
          <w:rFonts w:ascii="Times New Roman" w:hAnsi="Times New Roman" w:cs="Times New Roman"/>
          <w:bCs/>
          <w:sz w:val="24"/>
          <w:szCs w:val="24"/>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237490</wp:posOffset>
                </wp:positionV>
                <wp:extent cx="5443220" cy="10795"/>
                <wp:effectExtent l="13335" t="8890" r="10795" b="8890"/>
                <wp:wrapNone/>
                <wp:docPr id="3" name="AutoShape 2"/>
                <wp:cNvGraphicFramePr/>
                <a:graphic xmlns:a="http://schemas.openxmlformats.org/drawingml/2006/main">
                  <a:graphicData uri="http://schemas.microsoft.com/office/word/2010/wordprocessingShape">
                    <wps:wsp>
                      <wps:cNvCnPr>
                        <a:cxnSpLocks noChangeShapeType="1"/>
                      </wps:cNvCnPr>
                      <wps:spPr bwMode="auto">
                        <a:xfrm flipV="1">
                          <a:off x="0" y="0"/>
                          <a:ext cx="5443220" cy="10795"/>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flip:y;margin-left:13.8pt;margin-top:18.7pt;height:0.85pt;width:428.6pt;z-index:251659264;mso-width-relative:page;mso-height-relative:page;" filled="f" stroked="t" coordsize="21600,21600" o:gfxdata="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yne5dYAAAAIAQAADwAA&#10;AAAAAAABACAAAAAiAAAAZHJzL2Rvd25yZXYueG1sUEsBAhQAFAAAAAgAh07iQIaTblTfAQAAwAMA&#10;AA4AAAAAAAAAAQAgAAAAJQEAAGRycy9lMm9Eb2MueG1sUEsFBgAAAAAGAAYAWQEAAHYFAAAAAA==&#10;">
                <v:fill on="f" focussize="0,0"/>
                <v:stroke color="#000000" joinstyle="round"/>
                <v:imagedata o:title=""/>
                <o:lock v:ext="edit" aspectratio="f"/>
              </v:shape>
            </w:pict>
          </mc:Fallback>
        </mc:AlternateContent>
      </w:r>
      <w:r>
        <w:rPr>
          <w:rFonts w:ascii="Times New Roman" w:hAnsi="Times New Roman" w:cs="Times New Roman"/>
          <w:bCs/>
          <w:sz w:val="24"/>
          <w:szCs w:val="24"/>
          <w:lang w:val="mn-MN"/>
        </w:rPr>
        <w:t xml:space="preserve">Үндсэн байдал </w:t>
      </w:r>
    </w:p>
    <w:p w14:paraId="4F85927A">
      <w:pPr>
        <w:pStyle w:val="47"/>
        <w:spacing w:line="240" w:lineRule="auto"/>
        <w:ind w:left="720" w:firstLine="0" w:firstLineChars="0"/>
        <w:rPr>
          <w:rFonts w:ascii="Times New Roman" w:hAnsi="Times New Roman" w:cs="Times New Roman"/>
          <w:bCs/>
          <w:sz w:val="24"/>
          <w:szCs w:val="24"/>
          <w:lang w:val="mn-MN"/>
        </w:rPr>
      </w:pPr>
      <w:r>
        <w:rPr>
          <w:rFonts w:ascii="Times New Roman" w:hAnsi="Times New Roman" w:cs="Times New Roman"/>
          <w:bCs/>
          <w:sz w:val="24"/>
          <w:szCs w:val="24"/>
          <w:lang w:val="mn-MN"/>
        </w:rPr>
        <w:t xml:space="preserve">Бүртгэгдсэн нэр: </w:t>
      </w:r>
    </w:p>
    <w:p w14:paraId="36CD52C3">
      <w:pPr>
        <w:pStyle w:val="47"/>
        <w:spacing w:line="240" w:lineRule="auto"/>
        <w:ind w:left="720" w:firstLine="0" w:firstLineChars="0"/>
        <w:rPr>
          <w:rFonts w:ascii="Times New Roman" w:hAnsi="Times New Roman" w:cs="Times New Roman"/>
          <w:bCs/>
          <w:sz w:val="24"/>
          <w:szCs w:val="24"/>
          <w:lang w:val="mn-MN"/>
        </w:rPr>
      </w:pPr>
      <w:r>
        <w:rPr>
          <w:rFonts w:ascii="Times New Roman" w:hAnsi="Times New Roman" w:cs="Times New Roman"/>
          <w:bCs/>
          <w:sz w:val="24"/>
          <w:szCs w:val="24"/>
          <w:lang w:val="mn-MN"/>
        </w:rPr>
        <w:t xml:space="preserve">Бүртгэсэн хөрөнгө: </w:t>
      </w:r>
    </w:p>
    <w:p w14:paraId="6D4127CF">
      <w:pPr>
        <w:pStyle w:val="47"/>
        <w:spacing w:line="240" w:lineRule="auto"/>
        <w:ind w:left="720" w:firstLine="0" w:firstLineChars="0"/>
        <w:rPr>
          <w:rFonts w:ascii="Times New Roman" w:hAnsi="Times New Roman" w:cs="Times New Roman"/>
          <w:bCs/>
          <w:sz w:val="24"/>
          <w:szCs w:val="24"/>
          <w:lang w:val="mn-MN"/>
        </w:rPr>
      </w:pPr>
      <w:r>
        <w:rPr>
          <w:rFonts w:ascii="Times New Roman" w:hAnsi="Times New Roman" w:cs="Times New Roman"/>
          <w:bCs/>
          <w:sz w:val="24"/>
          <w:szCs w:val="24"/>
          <w:lang w:val="mn-MN"/>
        </w:rPr>
        <w:t xml:space="preserve">Үйл ажиллагааны хамрах хүрээ: </w:t>
      </w:r>
    </w:p>
    <w:p w14:paraId="31A2550E">
      <w:pPr>
        <w:pStyle w:val="47"/>
        <w:spacing w:line="240" w:lineRule="auto"/>
        <w:ind w:left="720" w:firstLine="0" w:firstLineChars="0"/>
        <w:rPr>
          <w:rFonts w:ascii="Times New Roman" w:hAnsi="Times New Roman" w:cs="Times New Roman"/>
          <w:bCs/>
          <w:sz w:val="24"/>
          <w:szCs w:val="24"/>
          <w:lang w:val="mn-MN"/>
        </w:rPr>
      </w:pPr>
      <w:r>
        <w:rPr>
          <w:rFonts w:ascii="Times New Roman" w:hAnsi="Times New Roman" w:cs="Times New Roman"/>
          <w:bCs/>
          <w:sz w:val="24"/>
          <w:szCs w:val="24"/>
          <w:lang w:val="mn-MN"/>
        </w:rPr>
        <w:t xml:space="preserve">Эдийн засгийн төрөл: </w:t>
      </w:r>
    </w:p>
    <w:p w14:paraId="2029FB95">
      <w:pPr>
        <w:pStyle w:val="47"/>
        <w:spacing w:line="240" w:lineRule="auto"/>
        <w:ind w:left="720" w:firstLine="0" w:firstLineChars="0"/>
        <w:rPr>
          <w:rFonts w:ascii="Times New Roman" w:hAnsi="Times New Roman" w:cs="Times New Roman"/>
          <w:bCs/>
          <w:sz w:val="24"/>
          <w:szCs w:val="24"/>
          <w:lang w:val="mn-MN"/>
        </w:rPr>
      </w:pPr>
      <w:r>
        <w:rPr>
          <w:rFonts w:ascii="Times New Roman" w:hAnsi="Times New Roman" w:cs="Times New Roman"/>
          <w:bCs/>
          <w:sz w:val="24"/>
          <w:szCs w:val="24"/>
          <w:lang w:val="mn-MN"/>
        </w:rPr>
        <w:t xml:space="preserve">Хаяг: </w:t>
      </w:r>
    </w:p>
    <w:p w14:paraId="48865885">
      <w:pPr>
        <w:pStyle w:val="47"/>
        <w:spacing w:line="240" w:lineRule="auto"/>
        <w:ind w:left="720" w:firstLine="0" w:firstLineChars="0"/>
        <w:rPr>
          <w:rFonts w:ascii="Times New Roman" w:hAnsi="Times New Roman" w:cs="Times New Roman"/>
          <w:bCs/>
          <w:sz w:val="24"/>
          <w:szCs w:val="24"/>
          <w:lang w:val="mn-MN"/>
        </w:rPr>
      </w:pPr>
      <w:r>
        <w:rPr>
          <w:rFonts w:ascii="Times New Roman" w:hAnsi="Times New Roman" w:cs="Times New Roman"/>
          <w:bCs/>
          <w:sz w:val="24"/>
          <w:szCs w:val="24"/>
          <w:lang w:val="mn-MN"/>
        </w:rPr>
        <w:t>Шуудангийн код:</w:t>
      </w:r>
    </w:p>
    <w:p w14:paraId="6A62CD1A">
      <w:pPr>
        <w:pStyle w:val="47"/>
        <w:spacing w:line="240" w:lineRule="auto"/>
        <w:ind w:left="720" w:firstLine="0" w:firstLineChars="0"/>
        <w:rPr>
          <w:rFonts w:ascii="Times New Roman" w:hAnsi="Times New Roman" w:cs="Times New Roman"/>
          <w:bCs/>
          <w:sz w:val="24"/>
          <w:szCs w:val="24"/>
          <w:lang w:val="mn-MN"/>
        </w:rPr>
      </w:pPr>
      <w:r>
        <w:rPr>
          <w:rFonts w:ascii="Times New Roman" w:hAnsi="Times New Roman" w:cs="Times New Roman"/>
          <w:bCs/>
          <w:sz w:val="24"/>
          <w:szCs w:val="24"/>
          <w:lang w:val="mn-MN"/>
        </w:rPr>
        <w:t xml:space="preserve">Утас: </w:t>
      </w:r>
    </w:p>
    <w:p w14:paraId="0A1B2CA3">
      <w:pPr>
        <w:pStyle w:val="47"/>
        <w:spacing w:line="240" w:lineRule="auto"/>
        <w:ind w:left="720" w:firstLine="0" w:firstLineChars="0"/>
        <w:rPr>
          <w:rFonts w:ascii="Times New Roman" w:hAnsi="Times New Roman" w:cs="Times New Roman"/>
          <w:bCs/>
          <w:sz w:val="24"/>
          <w:szCs w:val="24"/>
          <w:lang w:val="mn-MN"/>
        </w:rPr>
      </w:pPr>
      <w:r>
        <w:rPr>
          <w:rFonts w:ascii="Times New Roman" w:hAnsi="Times New Roman" w:cs="Times New Roman"/>
          <w:bCs/>
          <w:sz w:val="24"/>
          <w:szCs w:val="24"/>
          <w:lang w:val="mn-MN"/>
        </w:rPr>
        <w:t xml:space="preserve">Факс: </w:t>
      </w:r>
    </w:p>
    <w:p w14:paraId="29D21BE6">
      <w:pPr>
        <w:pStyle w:val="47"/>
        <w:spacing w:line="240" w:lineRule="auto"/>
        <w:ind w:left="720" w:firstLine="0" w:firstLineChars="0"/>
        <w:rPr>
          <w:rFonts w:ascii="Times New Roman" w:hAnsi="Times New Roman" w:cs="Times New Roman"/>
          <w:bCs/>
          <w:sz w:val="24"/>
          <w:szCs w:val="24"/>
          <w:lang w:val="mn-MN"/>
        </w:rPr>
      </w:pPr>
      <w:r>
        <w:rPr>
          <w:rFonts w:ascii="Times New Roman" w:hAnsi="Times New Roman" w:cs="Times New Roman"/>
          <w:bCs/>
          <w:sz w:val="24"/>
          <w:szCs w:val="24"/>
        </w:rPr>
        <w:drawing>
          <wp:inline distT="0" distB="0" distL="0" distR="0">
            <wp:extent cx="5466715" cy="38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66715" cy="38100"/>
                    </a:xfrm>
                    <a:prstGeom prst="rect">
                      <a:avLst/>
                    </a:prstGeom>
                    <a:noFill/>
                  </pic:spPr>
                </pic:pic>
              </a:graphicData>
            </a:graphic>
          </wp:inline>
        </w:drawing>
      </w:r>
    </w:p>
    <w:p w14:paraId="4D2624A0">
      <w:pPr>
        <w:pStyle w:val="47"/>
        <w:numPr>
          <w:ilvl w:val="1"/>
          <w:numId w:val="8"/>
        </w:numPr>
        <w:spacing w:line="240" w:lineRule="auto"/>
        <w:ind w:firstLineChars="0"/>
        <w:rPr>
          <w:rFonts w:ascii="Times New Roman" w:hAnsi="Times New Roman" w:cs="Times New Roman"/>
          <w:bCs/>
          <w:sz w:val="24"/>
          <w:szCs w:val="24"/>
          <w:lang w:val="mn-MN"/>
        </w:rPr>
      </w:pPr>
      <w:r>
        <w:rPr>
          <w:rFonts w:ascii="Times New Roman" w:hAnsi="Times New Roman" w:cs="Times New Roman"/>
          <w:bCs/>
          <w:sz w:val="24"/>
          <w:szCs w:val="24"/>
          <w:lang w:val="mn-MN"/>
        </w:rPr>
        <w:t>Бүтэц зохион байгуулалт</w:t>
      </w:r>
    </w:p>
    <w:p w14:paraId="606A669B">
      <w:pPr>
        <w:pStyle w:val="47"/>
        <w:numPr>
          <w:ilvl w:val="0"/>
          <w:numId w:val="10"/>
        </w:numPr>
        <w:spacing w:line="240" w:lineRule="auto"/>
        <w:ind w:firstLineChars="0"/>
        <w:rPr>
          <w:rFonts w:ascii="Times New Roman" w:hAnsi="Times New Roman" w:cs="Times New Roman"/>
          <w:bCs/>
          <w:sz w:val="24"/>
          <w:szCs w:val="24"/>
          <w:lang w:val="mn-MN"/>
        </w:rPr>
      </w:pPr>
      <w:r>
        <w:rPr>
          <w:rFonts w:ascii="Times New Roman" w:hAnsi="Times New Roman" w:cs="Times New Roman"/>
          <w:bCs/>
          <w:sz w:val="24"/>
          <w:szCs w:val="24"/>
          <w:lang w:val="mn-MN"/>
        </w:rPr>
        <w:t>Байгуулгын товч танилцуулга</w:t>
      </w:r>
    </w:p>
    <w:p w14:paraId="03ABD487">
      <w:pPr>
        <w:pStyle w:val="47"/>
        <w:numPr>
          <w:ilvl w:val="0"/>
          <w:numId w:val="10"/>
        </w:numPr>
        <w:spacing w:line="240" w:lineRule="auto"/>
        <w:ind w:firstLineChars="0"/>
        <w:rPr>
          <w:rFonts w:ascii="Times New Roman" w:hAnsi="Times New Roman" w:cs="Times New Roman"/>
          <w:bCs/>
          <w:sz w:val="24"/>
          <w:szCs w:val="24"/>
          <w:lang w:val="mn-MN"/>
        </w:rPr>
      </w:pPr>
      <w:r>
        <w:rPr>
          <w:rFonts w:ascii="Times New Roman" w:hAnsi="Times New Roman" w:cs="Times New Roman"/>
          <w:bCs/>
          <w:sz w:val="24"/>
          <w:szCs w:val="24"/>
          <w:lang w:val="mn-MN"/>
        </w:rPr>
        <w:t>Байгуулгын бүтэц зохион байгуулалт</w:t>
      </w:r>
    </w:p>
    <w:p w14:paraId="25DB1C29">
      <w:pPr>
        <w:pStyle w:val="47"/>
        <w:numPr>
          <w:ilvl w:val="0"/>
          <w:numId w:val="10"/>
        </w:numPr>
        <w:spacing w:line="240" w:lineRule="auto"/>
        <w:ind w:firstLineChars="0"/>
        <w:rPr>
          <w:rFonts w:ascii="Times New Roman" w:hAnsi="Times New Roman" w:cs="Times New Roman"/>
          <w:bCs/>
          <w:sz w:val="24"/>
          <w:szCs w:val="24"/>
          <w:lang w:val="mn-MN"/>
        </w:rPr>
      </w:pPr>
      <w:r>
        <w:rPr>
          <w:rFonts w:ascii="Times New Roman" w:hAnsi="Times New Roman" w:cs="Times New Roman"/>
          <w:bCs/>
          <w:sz w:val="24"/>
          <w:szCs w:val="24"/>
          <w:lang w:val="mn-MN"/>
        </w:rPr>
        <w:t>Байгуулгын ажилчдын тоо, түүнээс мэргэжлийн ажилчдын байдал, хүний тоо болон бүтцийн харьцаа</w:t>
      </w:r>
    </w:p>
    <w:p w14:paraId="7038FDD8">
      <w:pPr>
        <w:pStyle w:val="47"/>
        <w:numPr>
          <w:ilvl w:val="1"/>
          <w:numId w:val="8"/>
        </w:numPr>
        <w:spacing w:line="240" w:lineRule="auto"/>
        <w:ind w:firstLineChars="0"/>
        <w:rPr>
          <w:rFonts w:ascii="Times New Roman" w:hAnsi="Times New Roman" w:cs="Times New Roman"/>
          <w:bCs/>
          <w:sz w:val="24"/>
          <w:szCs w:val="24"/>
          <w:lang w:val="mn-MN"/>
        </w:rPr>
      </w:pPr>
      <w:r>
        <w:rPr>
          <w:rFonts w:ascii="Times New Roman" w:hAnsi="Times New Roman" w:cs="Times New Roman"/>
          <w:bCs/>
          <w:sz w:val="24"/>
          <w:szCs w:val="24"/>
          <w:lang w:val="mn-MN"/>
        </w:rPr>
        <w:t>Байгуулгын давуу тал болон онцлог</w:t>
      </w:r>
    </w:p>
    <w:p w14:paraId="3F384480">
      <w:pPr>
        <w:pStyle w:val="47"/>
        <w:numPr>
          <w:ilvl w:val="0"/>
          <w:numId w:val="8"/>
        </w:numPr>
        <w:spacing w:line="240" w:lineRule="auto"/>
        <w:ind w:firstLineChars="0"/>
        <w:rPr>
          <w:rFonts w:ascii="Times New Roman" w:hAnsi="Times New Roman" w:cs="Times New Roman"/>
          <w:b/>
          <w:bCs/>
          <w:sz w:val="24"/>
          <w:szCs w:val="24"/>
          <w:lang w:val="mn-MN"/>
        </w:rPr>
      </w:pPr>
      <w:r>
        <w:rPr>
          <w:rFonts w:ascii="Times New Roman" w:hAnsi="Times New Roman" w:cs="Times New Roman"/>
          <w:b/>
          <w:bCs/>
          <w:sz w:val="24"/>
          <w:szCs w:val="24"/>
          <w:lang w:val="mn-MN"/>
        </w:rPr>
        <w:t>Санхүүгийн байдал (тендерийн жилийн эцсийн санхүүгийн мэдээлэл , Нийт үнийн дүнгийн нэгж: 10,000 юань , аравтын хоёр орныг бичих)</w:t>
      </w:r>
    </w:p>
    <w:p w14:paraId="60212E2C">
      <w:pPr>
        <w:pStyle w:val="47"/>
        <w:numPr>
          <w:ilvl w:val="1"/>
          <w:numId w:val="8"/>
        </w:numPr>
        <w:spacing w:line="240" w:lineRule="auto"/>
        <w:ind w:firstLineChars="0"/>
        <w:rPr>
          <w:rFonts w:ascii="Times New Roman" w:hAnsi="Times New Roman" w:cs="Times New Roman"/>
          <w:bCs/>
          <w:sz w:val="24"/>
          <w:szCs w:val="24"/>
          <w:lang w:val="mn-MN"/>
        </w:rPr>
      </w:pPr>
      <w:r>
        <w:rPr>
          <w:rFonts w:ascii="Times New Roman" w:hAnsi="Times New Roman" w:cs="Times New Roman"/>
          <w:bCs/>
          <w:sz w:val="24"/>
          <w:szCs w:val="24"/>
          <w:lang w:val="mn-MN"/>
        </w:rPr>
        <w:t xml:space="preserve">Үндсэн материал </w:t>
      </w:r>
    </w:p>
    <w:p w14:paraId="30187EE1">
      <w:pPr>
        <w:spacing w:line="240" w:lineRule="auto"/>
        <w:ind w:left="360"/>
        <w:rPr>
          <w:bCs/>
          <w:sz w:val="24"/>
          <w:lang w:val="mn-MN"/>
        </w:rPr>
      </w:pPr>
      <w:r>
        <w:rPr>
          <w:bCs/>
          <w:sz w:val="24"/>
          <w:lang w:val="mn-MN"/>
        </w:rPr>
        <w:t xml:space="preserve">Хөрөнгийн нийт дүн: </w:t>
      </w:r>
    </w:p>
    <w:p w14:paraId="4788AC90">
      <w:pPr>
        <w:spacing w:line="240" w:lineRule="auto"/>
        <w:ind w:left="360"/>
        <w:rPr>
          <w:bCs/>
          <w:sz w:val="24"/>
          <w:lang w:val="mn-MN"/>
        </w:rPr>
      </w:pPr>
      <w:r>
        <w:rPr>
          <w:bCs/>
          <w:sz w:val="24"/>
          <w:lang w:val="mn-MN"/>
        </w:rPr>
        <w:t>Үүнээс : Эргэлтийн хөрөнгө</w:t>
      </w:r>
    </w:p>
    <w:p w14:paraId="650D72F8">
      <w:pPr>
        <w:spacing w:line="240" w:lineRule="auto"/>
        <w:ind w:left="360"/>
        <w:rPr>
          <w:bCs/>
          <w:sz w:val="24"/>
          <w:lang w:val="mn-MN"/>
        </w:rPr>
      </w:pPr>
      <w:r>
        <w:rPr>
          <w:bCs/>
          <w:sz w:val="24"/>
          <w:lang w:val="mn-MN"/>
        </w:rPr>
        <w:t xml:space="preserve">        Үл хөдлөх хөрөнгө: Анхны үнэ, цэвэр үнэ</w:t>
      </w:r>
    </w:p>
    <w:p w14:paraId="074FDB35">
      <w:pPr>
        <w:spacing w:line="240" w:lineRule="auto"/>
        <w:ind w:left="360"/>
        <w:rPr>
          <w:bCs/>
          <w:sz w:val="24"/>
          <w:lang w:val="mn-MN"/>
        </w:rPr>
      </w:pPr>
      <w:r>
        <w:rPr>
          <w:bCs/>
          <w:sz w:val="24"/>
          <w:lang w:val="mn-MN"/>
        </w:rPr>
        <w:t xml:space="preserve">Нийт өр төлбөр: </w:t>
      </w:r>
    </w:p>
    <w:p w14:paraId="2CBED3B8">
      <w:pPr>
        <w:spacing w:line="240" w:lineRule="auto"/>
        <w:ind w:left="360"/>
        <w:rPr>
          <w:bCs/>
          <w:sz w:val="24"/>
          <w:lang w:val="mn-MN"/>
        </w:rPr>
      </w:pPr>
      <w:r>
        <w:rPr>
          <w:bCs/>
          <w:sz w:val="24"/>
          <w:lang w:val="mn-MN"/>
        </w:rPr>
        <w:t xml:space="preserve">Одоогийн өр төлбөр:     Үүнээс: Банкны зээл: </w:t>
      </w:r>
    </w:p>
    <w:p w14:paraId="5F2A4263">
      <w:pPr>
        <w:spacing w:line="240" w:lineRule="auto"/>
        <w:ind w:left="360"/>
        <w:rPr>
          <w:bCs/>
          <w:sz w:val="24"/>
          <w:lang w:val="mn-MN"/>
        </w:rPr>
      </w:pPr>
      <w:r>
        <w:rPr>
          <w:bCs/>
          <w:sz w:val="24"/>
          <w:lang w:val="mn-MN"/>
        </w:rPr>
        <w:t xml:space="preserve">Цэвэр хөрөнгө:          Үүнээс: Худалдаж авсан хөрөнгө эсвэл өөрийн хөрөнгө: </w:t>
      </w:r>
    </w:p>
    <w:p w14:paraId="659F88A4">
      <w:pPr>
        <w:spacing w:line="240" w:lineRule="auto"/>
        <w:ind w:left="360"/>
        <w:rPr>
          <w:bCs/>
          <w:sz w:val="24"/>
          <w:lang w:val="mn-MN"/>
        </w:rPr>
      </w:pPr>
      <w:r>
        <w:rPr>
          <w:bCs/>
          <w:sz w:val="24"/>
          <w:lang w:val="mn-MN"/>
        </w:rPr>
        <w:t xml:space="preserve">Бизнесийн үндсэн орлого </w:t>
      </w:r>
      <w:r>
        <w:rPr>
          <w:bCs/>
          <w:sz w:val="24"/>
        </w:rPr>
        <w:t xml:space="preserve">( </w:t>
      </w:r>
      <w:r>
        <w:rPr>
          <w:bCs/>
          <w:sz w:val="24"/>
          <w:lang w:val="mn-MN"/>
        </w:rPr>
        <w:t>жилийн дүнгээр</w:t>
      </w:r>
      <w:r>
        <w:rPr>
          <w:bCs/>
          <w:sz w:val="24"/>
        </w:rPr>
        <w:t>)</w:t>
      </w:r>
      <w:r>
        <w:rPr>
          <w:bCs/>
          <w:sz w:val="24"/>
          <w:lang w:val="mn-MN"/>
        </w:rPr>
        <w:t xml:space="preserve">: </w:t>
      </w:r>
    </w:p>
    <w:p w14:paraId="5F2A922A">
      <w:pPr>
        <w:spacing w:line="240" w:lineRule="auto"/>
        <w:ind w:left="360"/>
        <w:rPr>
          <w:bCs/>
          <w:sz w:val="24"/>
          <w:lang w:val="mn-MN"/>
        </w:rPr>
      </w:pPr>
      <w:r>
        <w:rPr>
          <w:bCs/>
          <w:sz w:val="24"/>
          <w:lang w:val="mn-MN"/>
        </w:rPr>
        <w:t xml:space="preserve">Нийт ашиг </w:t>
      </w:r>
      <w:r>
        <w:rPr>
          <w:bCs/>
          <w:sz w:val="24"/>
        </w:rPr>
        <w:t xml:space="preserve">( </w:t>
      </w:r>
      <w:r>
        <w:rPr>
          <w:bCs/>
          <w:sz w:val="24"/>
          <w:lang w:val="mn-MN"/>
        </w:rPr>
        <w:t>жилийн дүнгээр</w:t>
      </w:r>
      <w:r>
        <w:rPr>
          <w:bCs/>
          <w:sz w:val="24"/>
        </w:rPr>
        <w:t>)</w:t>
      </w:r>
      <w:r>
        <w:rPr>
          <w:bCs/>
          <w:sz w:val="24"/>
          <w:lang w:val="mn-MN"/>
        </w:rPr>
        <w:t xml:space="preserve">: </w:t>
      </w:r>
    </w:p>
    <w:p w14:paraId="1F1B88B4">
      <w:pPr>
        <w:spacing w:line="240" w:lineRule="auto"/>
        <w:ind w:left="360"/>
        <w:rPr>
          <w:bCs/>
          <w:sz w:val="24"/>
          <w:lang w:val="mn-MN"/>
        </w:rPr>
      </w:pPr>
      <w:r>
        <w:rPr>
          <w:bCs/>
          <w:sz w:val="24"/>
          <w:lang w:val="mn-MN"/>
        </w:rPr>
        <w:t>Үйлдвэрлэл（Одоогийн үнэ, жилийн дүнгээр） :</w:t>
      </w:r>
    </w:p>
    <w:p w14:paraId="0690D43B">
      <w:pPr>
        <w:spacing w:line="240" w:lineRule="auto"/>
        <w:ind w:left="360"/>
        <w:rPr>
          <w:bCs/>
          <w:sz w:val="24"/>
          <w:lang w:val="mn-MN"/>
        </w:rPr>
      </w:pPr>
    </w:p>
    <w:p w14:paraId="66CADEAD">
      <w:pPr>
        <w:spacing w:line="240" w:lineRule="auto"/>
        <w:ind w:left="360"/>
        <w:rPr>
          <w:bCs/>
          <w:sz w:val="24"/>
          <w:lang w:val="mn-MN"/>
        </w:rPr>
      </w:pPr>
    </w:p>
    <w:p w14:paraId="68ABE654">
      <w:pPr>
        <w:spacing w:line="240" w:lineRule="auto"/>
        <w:ind w:left="360"/>
        <w:rPr>
          <w:bCs/>
          <w:sz w:val="24"/>
          <w:lang w:val="mn-MN"/>
        </w:rPr>
      </w:pPr>
      <w:r>
        <w:rPr>
          <w:bCs/>
          <w:sz w:val="24"/>
        </w:rPr>
        <w:drawing>
          <wp:inline distT="0" distB="0" distL="0" distR="0">
            <wp:extent cx="5466715" cy="381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66715" cy="38100"/>
                    </a:xfrm>
                    <a:prstGeom prst="rect">
                      <a:avLst/>
                    </a:prstGeom>
                    <a:noFill/>
                  </pic:spPr>
                </pic:pic>
              </a:graphicData>
            </a:graphic>
          </wp:inline>
        </w:drawing>
      </w:r>
    </w:p>
    <w:p w14:paraId="18F5D934">
      <w:pPr>
        <w:pStyle w:val="47"/>
        <w:numPr>
          <w:ilvl w:val="1"/>
          <w:numId w:val="8"/>
        </w:numPr>
        <w:spacing w:line="240" w:lineRule="auto"/>
        <w:ind w:firstLineChars="0"/>
        <w:rPr>
          <w:rFonts w:ascii="Times New Roman" w:hAnsi="Times New Roman" w:cs="Times New Roman"/>
          <w:bCs/>
          <w:sz w:val="24"/>
          <w:szCs w:val="24"/>
          <w:lang w:val="mn-MN"/>
        </w:rPr>
      </w:pPr>
      <w:r>
        <w:rPr>
          <w:rFonts w:ascii="Times New Roman" w:hAnsi="Times New Roman" w:cs="Times New Roman"/>
          <w:bCs/>
          <w:sz w:val="24"/>
          <w:szCs w:val="24"/>
          <w:lang w:val="mn-MN"/>
        </w:rPr>
        <w:t>Сүүлдийн 3 жилийн үйлдвэрлэлийн нийт гарц болон борлуулалтын ашиг,  аудитаар баталгаажуулсан сүүлийн гурван жилийн тайлан, мөн хөндлөнгийн мэргэшлийн баримт бичиг;</w:t>
      </w:r>
    </w:p>
    <w:p w14:paraId="220A8954">
      <w:pPr>
        <w:pStyle w:val="47"/>
        <w:numPr>
          <w:ilvl w:val="1"/>
          <w:numId w:val="8"/>
        </w:numPr>
        <w:spacing w:line="240" w:lineRule="auto"/>
        <w:ind w:firstLineChars="0"/>
        <w:rPr>
          <w:rFonts w:ascii="Times New Roman" w:hAnsi="Times New Roman" w:cs="Times New Roman"/>
          <w:bCs/>
          <w:sz w:val="24"/>
          <w:szCs w:val="24"/>
          <w:lang w:val="mn-MN"/>
        </w:rPr>
      </w:pPr>
      <w:r>
        <w:rPr>
          <w:rFonts w:ascii="Times New Roman" w:hAnsi="Times New Roman" w:cs="Times New Roman"/>
          <w:bCs/>
          <w:sz w:val="24"/>
          <w:szCs w:val="24"/>
          <w:lang w:val="mn-MN"/>
        </w:rPr>
        <w:t xml:space="preserve">Аж ахуй нэгжийн данс, банкны нэр, хаяг: </w:t>
      </w:r>
    </w:p>
    <w:p w14:paraId="160BF119">
      <w:pPr>
        <w:pStyle w:val="47"/>
        <w:numPr>
          <w:ilvl w:val="0"/>
          <w:numId w:val="8"/>
        </w:numPr>
        <w:spacing w:line="240" w:lineRule="auto"/>
        <w:ind w:firstLineChars="0"/>
        <w:rPr>
          <w:rFonts w:ascii="Times New Roman" w:hAnsi="Times New Roman" w:cs="Times New Roman"/>
          <w:bCs/>
          <w:sz w:val="24"/>
          <w:szCs w:val="24"/>
          <w:lang w:val="mn-MN"/>
        </w:rPr>
      </w:pPr>
      <w:r>
        <w:rPr>
          <w:rFonts w:ascii="Times New Roman" w:hAnsi="Times New Roman" w:cs="Times New Roman"/>
          <w:bCs/>
          <w:sz w:val="24"/>
          <w:szCs w:val="24"/>
          <w:lang w:val="mn-MN"/>
        </w:rPr>
        <w:t>Аж ахуй нэгжийн чанарын баталгааны системийн бүтэц болон хүний тоо, авсан гавьяа шагнал.</w:t>
      </w:r>
    </w:p>
    <w:p w14:paraId="309D250B">
      <w:pPr>
        <w:pStyle w:val="47"/>
        <w:numPr>
          <w:ilvl w:val="0"/>
          <w:numId w:val="8"/>
        </w:numPr>
        <w:spacing w:line="240" w:lineRule="auto"/>
        <w:ind w:firstLineChars="0"/>
        <w:rPr>
          <w:rFonts w:ascii="Times New Roman" w:hAnsi="Times New Roman" w:cs="Times New Roman"/>
          <w:bCs/>
          <w:sz w:val="24"/>
          <w:szCs w:val="24"/>
          <w:lang w:val="mn-MN"/>
        </w:rPr>
        <w:sectPr>
          <w:footerReference r:id="rId6" w:type="default"/>
          <w:footerReference r:id="rId7" w:type="even"/>
          <w:pgSz w:w="11906" w:h="16838"/>
          <w:pgMar w:top="993" w:right="1418" w:bottom="709" w:left="1418" w:header="851" w:footer="992" w:gutter="0"/>
          <w:cols w:space="720" w:num="1"/>
          <w:titlePg/>
          <w:docGrid w:type="linesAndChars" w:linePitch="286" w:charSpace="0"/>
        </w:sectPr>
      </w:pPr>
      <w:r>
        <w:rPr>
          <w:rFonts w:ascii="Times New Roman" w:hAnsi="Times New Roman" w:cs="Times New Roman"/>
          <w:bCs/>
          <w:sz w:val="24"/>
          <w:szCs w:val="24"/>
          <w:lang w:val="mn-MN"/>
        </w:rPr>
        <w:t>Тендерийн гүйцэтгэлийг хангахад ашиглах техник хэрэгсэл, авч хэрэгжүүлэх ажлын талаар амлал</w:t>
      </w:r>
      <w:bookmarkEnd w:id="7"/>
      <w:r>
        <w:rPr>
          <w:rFonts w:ascii="Times New Roman" w:hAnsi="Times New Roman" w:cs="Times New Roman"/>
          <w:bCs/>
          <w:sz w:val="24"/>
          <w:szCs w:val="24"/>
          <w:lang w:val="mn-MN"/>
        </w:rPr>
        <w:t>т</w:t>
      </w:r>
      <w:bookmarkStart w:id="8" w:name="_GoBack"/>
      <w:bookmarkEnd w:id="8"/>
    </w:p>
    <w:p w14:paraId="4CCEEF04">
      <w:pPr>
        <w:spacing w:before="312" w:beforeLines="100" w:after="0" w:line="240" w:lineRule="auto"/>
        <w:rPr>
          <w:rFonts w:eastAsia="仿宋"/>
          <w:b/>
          <w:sz w:val="24"/>
          <w:lang w:val="mn-M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C98D4">
    <w:pPr>
      <w:pStyle w:val="10"/>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w:t>
    </w:r>
    <w:r>
      <w:rPr>
        <w:sz w:val="21"/>
        <w:szCs w:val="21"/>
      </w:rPr>
      <w:t xml:space="preserve"> 2 -</w:t>
    </w:r>
    <w:r>
      <w:rPr>
        <w:sz w:val="21"/>
        <w:szCs w:val="21"/>
      </w:rPr>
      <w:fldChar w:fldCharType="end"/>
    </w:r>
  </w:p>
  <w:p w14:paraId="54928387">
    <w:pPr>
      <w:pStyle w:val="10"/>
      <w:ind w:right="360"/>
      <w:rPr>
        <w:b/>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3722366"/>
    </w:sdtPr>
    <w:sdtContent>
      <w:p w14:paraId="3F7D97C1">
        <w:pPr>
          <w:pStyle w:val="10"/>
          <w:jc w:val="center"/>
        </w:pPr>
        <w:r>
          <w:fldChar w:fldCharType="begin"/>
        </w:r>
        <w:r>
          <w:instrText xml:space="preserve"> PAGE   \* MERGEFORMAT </w:instrText>
        </w:r>
        <w:r>
          <w:fldChar w:fldCharType="separate"/>
        </w:r>
        <w:r>
          <w:rPr>
            <w:lang w:val="zh-CN"/>
          </w:rPr>
          <w:t>25</w:t>
        </w:r>
        <w:r>
          <w:rPr>
            <w:lang w:val="zh-CN"/>
          </w:rPr>
          <w:fldChar w:fldCharType="end"/>
        </w:r>
      </w:p>
    </w:sdtContent>
  </w:sdt>
  <w:p w14:paraId="2CFFF856">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34111">
    <w:pPr>
      <w:pStyle w:val="10"/>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73D6A58D">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9D399D"/>
    <w:multiLevelType w:val="multilevel"/>
    <w:tmpl w:val="129D399D"/>
    <w:lvl w:ilvl="0" w:tentative="0">
      <w:start w:val="1"/>
      <w:numFmt w:val="decimal"/>
      <w:lvlText w:val="%1."/>
      <w:lvlJc w:val="left"/>
      <w:pPr>
        <w:ind w:left="36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800" w:hanging="720"/>
      </w:pPr>
      <w:rPr>
        <w:rFonts w:hint="default"/>
      </w:rPr>
    </w:lvl>
    <w:lvl w:ilvl="4" w:tentative="0">
      <w:start w:val="1"/>
      <w:numFmt w:val="decimal"/>
      <w:isLgl/>
      <w:lvlText w:val="%1.%2.%3.%4.%5"/>
      <w:lvlJc w:val="left"/>
      <w:pPr>
        <w:ind w:left="2520" w:hanging="1080"/>
      </w:pPr>
      <w:rPr>
        <w:rFonts w:hint="default"/>
      </w:rPr>
    </w:lvl>
    <w:lvl w:ilvl="5" w:tentative="0">
      <w:start w:val="1"/>
      <w:numFmt w:val="decimal"/>
      <w:isLgl/>
      <w:lvlText w:val="%1.%2.%3.%4.%5.%6"/>
      <w:lvlJc w:val="left"/>
      <w:pPr>
        <w:ind w:left="2880" w:hanging="1080"/>
      </w:pPr>
      <w:rPr>
        <w:rFonts w:hint="default"/>
      </w:rPr>
    </w:lvl>
    <w:lvl w:ilvl="6" w:tentative="0">
      <w:start w:val="1"/>
      <w:numFmt w:val="decimal"/>
      <w:isLgl/>
      <w:lvlText w:val="%1.%2.%3.%4.%5.%6.%7"/>
      <w:lvlJc w:val="left"/>
      <w:pPr>
        <w:ind w:left="3600" w:hanging="1440"/>
      </w:pPr>
      <w:rPr>
        <w:rFonts w:hint="default"/>
      </w:rPr>
    </w:lvl>
    <w:lvl w:ilvl="7" w:tentative="0">
      <w:start w:val="1"/>
      <w:numFmt w:val="decimal"/>
      <w:isLgl/>
      <w:lvlText w:val="%1.%2.%3.%4.%5.%6.%7.%8"/>
      <w:lvlJc w:val="left"/>
      <w:pPr>
        <w:ind w:left="3960" w:hanging="1440"/>
      </w:pPr>
      <w:rPr>
        <w:rFonts w:hint="default"/>
      </w:rPr>
    </w:lvl>
    <w:lvl w:ilvl="8" w:tentative="0">
      <w:start w:val="1"/>
      <w:numFmt w:val="decimal"/>
      <w:isLgl/>
      <w:lvlText w:val="%1.%2.%3.%4.%5.%6.%7.%8.%9"/>
      <w:lvlJc w:val="left"/>
      <w:pPr>
        <w:ind w:left="4680" w:hanging="1800"/>
      </w:pPr>
      <w:rPr>
        <w:rFonts w:hint="default"/>
      </w:rPr>
    </w:lvl>
  </w:abstractNum>
  <w:abstractNum w:abstractNumId="1">
    <w:nsid w:val="143F5B66"/>
    <w:multiLevelType w:val="multilevel"/>
    <w:tmpl w:val="143F5B66"/>
    <w:lvl w:ilvl="0" w:tentative="0">
      <w:start w:val="1"/>
      <w:numFmt w:val="decimal"/>
      <w:lvlText w:val="（%1）"/>
      <w:lvlJc w:val="left"/>
      <w:pPr>
        <w:ind w:left="862" w:hanging="72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
    <w:nsid w:val="20D71934"/>
    <w:multiLevelType w:val="multilevel"/>
    <w:tmpl w:val="20D71934"/>
    <w:lvl w:ilvl="0" w:tentative="0">
      <w:start w:val="1"/>
      <w:numFmt w:val="decimal"/>
      <w:lvlText w:val="%1."/>
      <w:lvlJc w:val="left"/>
      <w:pPr>
        <w:ind w:left="720" w:hanging="360"/>
      </w:pPr>
      <w:rPr>
        <w:rFonts w:ascii="Times New Roman" w:hAnsi="Times New Roman" w:eastAsia="宋体" w:cs="Times New Roman"/>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440" w:hanging="108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3">
    <w:nsid w:val="30584DC9"/>
    <w:multiLevelType w:val="multilevel"/>
    <w:tmpl w:val="30584D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46817F9"/>
    <w:multiLevelType w:val="multilevel"/>
    <w:tmpl w:val="446817F9"/>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5">
    <w:nsid w:val="4E880636"/>
    <w:multiLevelType w:val="multilevel"/>
    <w:tmpl w:val="4E880636"/>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6">
    <w:nsid w:val="575B7F3B"/>
    <w:multiLevelType w:val="multilevel"/>
    <w:tmpl w:val="575B7F3B"/>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7">
    <w:nsid w:val="59C35EFE"/>
    <w:multiLevelType w:val="multilevel"/>
    <w:tmpl w:val="59C35EF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AB79D0"/>
    <w:multiLevelType w:val="multilevel"/>
    <w:tmpl w:val="62AB79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9">
    <w:nsid w:val="7F26218F"/>
    <w:multiLevelType w:val="multilevel"/>
    <w:tmpl w:val="7F26218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8"/>
  </w:num>
  <w:num w:numId="3">
    <w:abstractNumId w:val="0"/>
  </w:num>
  <w:num w:numId="4">
    <w:abstractNumId w:val="3"/>
  </w:num>
  <w:num w:numId="5">
    <w:abstractNumId w:val="7"/>
  </w:num>
  <w:num w:numId="6">
    <w:abstractNumId w:val="5"/>
  </w:num>
  <w:num w:numId="7">
    <w:abstractNumId w:val="4"/>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OTIzZWU0YTI2ZjlhMzZjNjNjZGYyZDM4ODlhNTcifQ=="/>
  </w:docVars>
  <w:rsids>
    <w:rsidRoot w:val="00804C7F"/>
    <w:rsid w:val="000006C4"/>
    <w:rsid w:val="000052B7"/>
    <w:rsid w:val="00005A5C"/>
    <w:rsid w:val="00005AB8"/>
    <w:rsid w:val="00005C42"/>
    <w:rsid w:val="00006BEF"/>
    <w:rsid w:val="00006C8A"/>
    <w:rsid w:val="00014C66"/>
    <w:rsid w:val="000208B6"/>
    <w:rsid w:val="0002105C"/>
    <w:rsid w:val="00021075"/>
    <w:rsid w:val="000262AA"/>
    <w:rsid w:val="0002782F"/>
    <w:rsid w:val="000317DD"/>
    <w:rsid w:val="00035024"/>
    <w:rsid w:val="00035EA5"/>
    <w:rsid w:val="000374E5"/>
    <w:rsid w:val="00042F26"/>
    <w:rsid w:val="00051C2F"/>
    <w:rsid w:val="00052C09"/>
    <w:rsid w:val="00056759"/>
    <w:rsid w:val="000647AA"/>
    <w:rsid w:val="00066778"/>
    <w:rsid w:val="00066D82"/>
    <w:rsid w:val="0007253D"/>
    <w:rsid w:val="00076C7C"/>
    <w:rsid w:val="00080371"/>
    <w:rsid w:val="00081397"/>
    <w:rsid w:val="00081A72"/>
    <w:rsid w:val="00082F32"/>
    <w:rsid w:val="00084425"/>
    <w:rsid w:val="00095CA8"/>
    <w:rsid w:val="00097186"/>
    <w:rsid w:val="000A3276"/>
    <w:rsid w:val="000A3FD7"/>
    <w:rsid w:val="000A4B36"/>
    <w:rsid w:val="000A763F"/>
    <w:rsid w:val="000B4090"/>
    <w:rsid w:val="000B6324"/>
    <w:rsid w:val="000C37A8"/>
    <w:rsid w:val="000C6445"/>
    <w:rsid w:val="000D23F1"/>
    <w:rsid w:val="000D37B3"/>
    <w:rsid w:val="000E5824"/>
    <w:rsid w:val="000F06CA"/>
    <w:rsid w:val="000F1B6C"/>
    <w:rsid w:val="000F27E0"/>
    <w:rsid w:val="000F7841"/>
    <w:rsid w:val="0010017F"/>
    <w:rsid w:val="00105DED"/>
    <w:rsid w:val="00107BAF"/>
    <w:rsid w:val="00107C4C"/>
    <w:rsid w:val="001104CD"/>
    <w:rsid w:val="00110C49"/>
    <w:rsid w:val="0011533C"/>
    <w:rsid w:val="001232A3"/>
    <w:rsid w:val="0013156C"/>
    <w:rsid w:val="00135B4B"/>
    <w:rsid w:val="00142C79"/>
    <w:rsid w:val="00150B4C"/>
    <w:rsid w:val="001524CB"/>
    <w:rsid w:val="00152981"/>
    <w:rsid w:val="001579CB"/>
    <w:rsid w:val="0016173C"/>
    <w:rsid w:val="00162E0E"/>
    <w:rsid w:val="001657DD"/>
    <w:rsid w:val="00170797"/>
    <w:rsid w:val="00170F65"/>
    <w:rsid w:val="00171009"/>
    <w:rsid w:val="00183B8D"/>
    <w:rsid w:val="001869C0"/>
    <w:rsid w:val="001979A0"/>
    <w:rsid w:val="001A2300"/>
    <w:rsid w:val="001A314B"/>
    <w:rsid w:val="001A7969"/>
    <w:rsid w:val="001B4E0D"/>
    <w:rsid w:val="001B68AE"/>
    <w:rsid w:val="001C3A22"/>
    <w:rsid w:val="001C5ECF"/>
    <w:rsid w:val="001D327C"/>
    <w:rsid w:val="001E125C"/>
    <w:rsid w:val="001E1D38"/>
    <w:rsid w:val="001E79BB"/>
    <w:rsid w:val="001F05B9"/>
    <w:rsid w:val="001F3189"/>
    <w:rsid w:val="001F3E48"/>
    <w:rsid w:val="001F5145"/>
    <w:rsid w:val="001F5B18"/>
    <w:rsid w:val="001F7E53"/>
    <w:rsid w:val="002001C4"/>
    <w:rsid w:val="00200D6B"/>
    <w:rsid w:val="00206713"/>
    <w:rsid w:val="002100C5"/>
    <w:rsid w:val="00210385"/>
    <w:rsid w:val="002152A9"/>
    <w:rsid w:val="002220A6"/>
    <w:rsid w:val="002223F1"/>
    <w:rsid w:val="00230C2B"/>
    <w:rsid w:val="002376A4"/>
    <w:rsid w:val="00246AA5"/>
    <w:rsid w:val="00247543"/>
    <w:rsid w:val="00250B7A"/>
    <w:rsid w:val="00250CE7"/>
    <w:rsid w:val="0025208F"/>
    <w:rsid w:val="00253FF2"/>
    <w:rsid w:val="00256D98"/>
    <w:rsid w:val="0025771B"/>
    <w:rsid w:val="0026317E"/>
    <w:rsid w:val="00271A73"/>
    <w:rsid w:val="002770FB"/>
    <w:rsid w:val="00283621"/>
    <w:rsid w:val="00283DF0"/>
    <w:rsid w:val="00290706"/>
    <w:rsid w:val="002945CB"/>
    <w:rsid w:val="002959BE"/>
    <w:rsid w:val="002A2FD3"/>
    <w:rsid w:val="002A6309"/>
    <w:rsid w:val="002B27FD"/>
    <w:rsid w:val="002C27C8"/>
    <w:rsid w:val="002C435D"/>
    <w:rsid w:val="002C7066"/>
    <w:rsid w:val="002D0FEE"/>
    <w:rsid w:val="002D5173"/>
    <w:rsid w:val="002D7281"/>
    <w:rsid w:val="002D7B73"/>
    <w:rsid w:val="002E3EDD"/>
    <w:rsid w:val="002F2B54"/>
    <w:rsid w:val="002F77BF"/>
    <w:rsid w:val="00306E15"/>
    <w:rsid w:val="003076D0"/>
    <w:rsid w:val="00316940"/>
    <w:rsid w:val="00317C7B"/>
    <w:rsid w:val="0032118E"/>
    <w:rsid w:val="003343EE"/>
    <w:rsid w:val="00335CDF"/>
    <w:rsid w:val="00340496"/>
    <w:rsid w:val="00344143"/>
    <w:rsid w:val="003521C8"/>
    <w:rsid w:val="0035792B"/>
    <w:rsid w:val="00366019"/>
    <w:rsid w:val="00367B9E"/>
    <w:rsid w:val="0037087F"/>
    <w:rsid w:val="00383242"/>
    <w:rsid w:val="003A0A1E"/>
    <w:rsid w:val="003B54F3"/>
    <w:rsid w:val="003C068A"/>
    <w:rsid w:val="003C1490"/>
    <w:rsid w:val="003C64D2"/>
    <w:rsid w:val="003D3D87"/>
    <w:rsid w:val="003D56ED"/>
    <w:rsid w:val="003E1B27"/>
    <w:rsid w:val="003E2505"/>
    <w:rsid w:val="003E4534"/>
    <w:rsid w:val="003F0300"/>
    <w:rsid w:val="003F7432"/>
    <w:rsid w:val="003F7E68"/>
    <w:rsid w:val="004014BA"/>
    <w:rsid w:val="0041575F"/>
    <w:rsid w:val="004170FF"/>
    <w:rsid w:val="00430D86"/>
    <w:rsid w:val="00431262"/>
    <w:rsid w:val="00436D46"/>
    <w:rsid w:val="00444DB5"/>
    <w:rsid w:val="00446BFF"/>
    <w:rsid w:val="00450038"/>
    <w:rsid w:val="00455CBD"/>
    <w:rsid w:val="00466C13"/>
    <w:rsid w:val="00471664"/>
    <w:rsid w:val="00475153"/>
    <w:rsid w:val="0048478A"/>
    <w:rsid w:val="00484993"/>
    <w:rsid w:val="00487BFF"/>
    <w:rsid w:val="004A08C2"/>
    <w:rsid w:val="004B0DDE"/>
    <w:rsid w:val="004B67B4"/>
    <w:rsid w:val="004B6A0B"/>
    <w:rsid w:val="004B7DD6"/>
    <w:rsid w:val="004C0186"/>
    <w:rsid w:val="004C01C2"/>
    <w:rsid w:val="004C3876"/>
    <w:rsid w:val="004C67B4"/>
    <w:rsid w:val="004D0725"/>
    <w:rsid w:val="004E6F57"/>
    <w:rsid w:val="004F6CE0"/>
    <w:rsid w:val="004F6F2F"/>
    <w:rsid w:val="004F7F1B"/>
    <w:rsid w:val="00501D1C"/>
    <w:rsid w:val="00504449"/>
    <w:rsid w:val="00505EEB"/>
    <w:rsid w:val="005119F0"/>
    <w:rsid w:val="00512FCA"/>
    <w:rsid w:val="00516F31"/>
    <w:rsid w:val="00521438"/>
    <w:rsid w:val="005332AE"/>
    <w:rsid w:val="00534E5F"/>
    <w:rsid w:val="00560101"/>
    <w:rsid w:val="00560A05"/>
    <w:rsid w:val="00571605"/>
    <w:rsid w:val="00573519"/>
    <w:rsid w:val="005752A8"/>
    <w:rsid w:val="00582ECA"/>
    <w:rsid w:val="005842B0"/>
    <w:rsid w:val="00592A61"/>
    <w:rsid w:val="005A045D"/>
    <w:rsid w:val="005A1614"/>
    <w:rsid w:val="005A1F4F"/>
    <w:rsid w:val="005A23DA"/>
    <w:rsid w:val="005A373D"/>
    <w:rsid w:val="005A49DB"/>
    <w:rsid w:val="005A5F45"/>
    <w:rsid w:val="005B2FD1"/>
    <w:rsid w:val="005B3B93"/>
    <w:rsid w:val="005B566C"/>
    <w:rsid w:val="005B7261"/>
    <w:rsid w:val="005D03E0"/>
    <w:rsid w:val="005D560C"/>
    <w:rsid w:val="005E0AC5"/>
    <w:rsid w:val="005E2B8D"/>
    <w:rsid w:val="005F1147"/>
    <w:rsid w:val="005F4BE4"/>
    <w:rsid w:val="005F4CC0"/>
    <w:rsid w:val="005F6DB8"/>
    <w:rsid w:val="005F7203"/>
    <w:rsid w:val="0060451B"/>
    <w:rsid w:val="006105FD"/>
    <w:rsid w:val="00613866"/>
    <w:rsid w:val="00613A79"/>
    <w:rsid w:val="00615544"/>
    <w:rsid w:val="00622239"/>
    <w:rsid w:val="00630F7D"/>
    <w:rsid w:val="00633FA8"/>
    <w:rsid w:val="00637316"/>
    <w:rsid w:val="00637423"/>
    <w:rsid w:val="00637E6C"/>
    <w:rsid w:val="0064546A"/>
    <w:rsid w:val="00650C1A"/>
    <w:rsid w:val="00651886"/>
    <w:rsid w:val="00652977"/>
    <w:rsid w:val="00670DCD"/>
    <w:rsid w:val="00675631"/>
    <w:rsid w:val="0067722E"/>
    <w:rsid w:val="006802EC"/>
    <w:rsid w:val="00681527"/>
    <w:rsid w:val="006833D7"/>
    <w:rsid w:val="00685104"/>
    <w:rsid w:val="0069349C"/>
    <w:rsid w:val="00694319"/>
    <w:rsid w:val="006A1215"/>
    <w:rsid w:val="006A3541"/>
    <w:rsid w:val="006A6DDE"/>
    <w:rsid w:val="006A762D"/>
    <w:rsid w:val="006B0D53"/>
    <w:rsid w:val="006B2D5B"/>
    <w:rsid w:val="006D7745"/>
    <w:rsid w:val="006E2563"/>
    <w:rsid w:val="006E2EC4"/>
    <w:rsid w:val="006E6060"/>
    <w:rsid w:val="006E75FA"/>
    <w:rsid w:val="006F0C8C"/>
    <w:rsid w:val="0070177B"/>
    <w:rsid w:val="00702A76"/>
    <w:rsid w:val="0070367E"/>
    <w:rsid w:val="00713512"/>
    <w:rsid w:val="0072113D"/>
    <w:rsid w:val="00735BB5"/>
    <w:rsid w:val="00742E5A"/>
    <w:rsid w:val="007501C8"/>
    <w:rsid w:val="007559A9"/>
    <w:rsid w:val="00763C68"/>
    <w:rsid w:val="00765160"/>
    <w:rsid w:val="00765772"/>
    <w:rsid w:val="00780C92"/>
    <w:rsid w:val="00782392"/>
    <w:rsid w:val="00784823"/>
    <w:rsid w:val="007851E8"/>
    <w:rsid w:val="00791DF8"/>
    <w:rsid w:val="00794A28"/>
    <w:rsid w:val="00794EB7"/>
    <w:rsid w:val="0079652E"/>
    <w:rsid w:val="0079692C"/>
    <w:rsid w:val="007A0B24"/>
    <w:rsid w:val="007A1240"/>
    <w:rsid w:val="007A1E83"/>
    <w:rsid w:val="007A3032"/>
    <w:rsid w:val="007A32A3"/>
    <w:rsid w:val="007B2FAA"/>
    <w:rsid w:val="007B7365"/>
    <w:rsid w:val="007C1243"/>
    <w:rsid w:val="007C6AC1"/>
    <w:rsid w:val="007D03B2"/>
    <w:rsid w:val="007E0FC4"/>
    <w:rsid w:val="007E21F2"/>
    <w:rsid w:val="007E6A93"/>
    <w:rsid w:val="007F49B1"/>
    <w:rsid w:val="007F602D"/>
    <w:rsid w:val="0080047E"/>
    <w:rsid w:val="0080376D"/>
    <w:rsid w:val="00804C7F"/>
    <w:rsid w:val="00810955"/>
    <w:rsid w:val="008143F5"/>
    <w:rsid w:val="0081667E"/>
    <w:rsid w:val="00822DF6"/>
    <w:rsid w:val="00825C5B"/>
    <w:rsid w:val="008273C1"/>
    <w:rsid w:val="00831E05"/>
    <w:rsid w:val="00844ABE"/>
    <w:rsid w:val="008500D6"/>
    <w:rsid w:val="0085031C"/>
    <w:rsid w:val="00850576"/>
    <w:rsid w:val="008571BD"/>
    <w:rsid w:val="00871410"/>
    <w:rsid w:val="008725FC"/>
    <w:rsid w:val="00876504"/>
    <w:rsid w:val="008920BD"/>
    <w:rsid w:val="008A116D"/>
    <w:rsid w:val="008A1F5B"/>
    <w:rsid w:val="008A27A7"/>
    <w:rsid w:val="008A2E4F"/>
    <w:rsid w:val="008A4F42"/>
    <w:rsid w:val="008B5554"/>
    <w:rsid w:val="008C16CF"/>
    <w:rsid w:val="008C5925"/>
    <w:rsid w:val="008C7C09"/>
    <w:rsid w:val="008E1F18"/>
    <w:rsid w:val="008E37BE"/>
    <w:rsid w:val="008E4654"/>
    <w:rsid w:val="008F2812"/>
    <w:rsid w:val="008F2B3D"/>
    <w:rsid w:val="008F643C"/>
    <w:rsid w:val="008F7693"/>
    <w:rsid w:val="0090457F"/>
    <w:rsid w:val="009049EA"/>
    <w:rsid w:val="00905522"/>
    <w:rsid w:val="00913060"/>
    <w:rsid w:val="00921FFB"/>
    <w:rsid w:val="00924F06"/>
    <w:rsid w:val="00930024"/>
    <w:rsid w:val="00930DF8"/>
    <w:rsid w:val="00941114"/>
    <w:rsid w:val="009512D7"/>
    <w:rsid w:val="0095153C"/>
    <w:rsid w:val="009546AB"/>
    <w:rsid w:val="00957E21"/>
    <w:rsid w:val="00961DBA"/>
    <w:rsid w:val="00964CBB"/>
    <w:rsid w:val="00964E40"/>
    <w:rsid w:val="00971660"/>
    <w:rsid w:val="00975EDA"/>
    <w:rsid w:val="00976B52"/>
    <w:rsid w:val="00976F1F"/>
    <w:rsid w:val="0098728A"/>
    <w:rsid w:val="00990F61"/>
    <w:rsid w:val="00991BC0"/>
    <w:rsid w:val="009A09A6"/>
    <w:rsid w:val="009A4E0A"/>
    <w:rsid w:val="009B20A4"/>
    <w:rsid w:val="009B4FB7"/>
    <w:rsid w:val="009C056A"/>
    <w:rsid w:val="009C6D0F"/>
    <w:rsid w:val="009D4BEF"/>
    <w:rsid w:val="009D502C"/>
    <w:rsid w:val="009D7730"/>
    <w:rsid w:val="009E6435"/>
    <w:rsid w:val="00A0384A"/>
    <w:rsid w:val="00A10B7A"/>
    <w:rsid w:val="00A11780"/>
    <w:rsid w:val="00A13566"/>
    <w:rsid w:val="00A1464D"/>
    <w:rsid w:val="00A15CA1"/>
    <w:rsid w:val="00A16AA7"/>
    <w:rsid w:val="00A23965"/>
    <w:rsid w:val="00A24BF4"/>
    <w:rsid w:val="00A41E1D"/>
    <w:rsid w:val="00A425CE"/>
    <w:rsid w:val="00A43C3C"/>
    <w:rsid w:val="00A46E64"/>
    <w:rsid w:val="00A477E0"/>
    <w:rsid w:val="00A520DA"/>
    <w:rsid w:val="00A626E2"/>
    <w:rsid w:val="00A75A86"/>
    <w:rsid w:val="00A770BE"/>
    <w:rsid w:val="00A81546"/>
    <w:rsid w:val="00A81621"/>
    <w:rsid w:val="00A829A5"/>
    <w:rsid w:val="00A86DDC"/>
    <w:rsid w:val="00A92C3B"/>
    <w:rsid w:val="00AA340B"/>
    <w:rsid w:val="00AA44FB"/>
    <w:rsid w:val="00AB2988"/>
    <w:rsid w:val="00AB4CA7"/>
    <w:rsid w:val="00AB557D"/>
    <w:rsid w:val="00AB6066"/>
    <w:rsid w:val="00AB77C1"/>
    <w:rsid w:val="00AC67C3"/>
    <w:rsid w:val="00AC6DCA"/>
    <w:rsid w:val="00AE2400"/>
    <w:rsid w:val="00AE314C"/>
    <w:rsid w:val="00AE3DBE"/>
    <w:rsid w:val="00AE3DED"/>
    <w:rsid w:val="00AE54C1"/>
    <w:rsid w:val="00AE7579"/>
    <w:rsid w:val="00AE7F50"/>
    <w:rsid w:val="00AF7397"/>
    <w:rsid w:val="00B06947"/>
    <w:rsid w:val="00B07E31"/>
    <w:rsid w:val="00B23A3E"/>
    <w:rsid w:val="00B2591D"/>
    <w:rsid w:val="00B25A99"/>
    <w:rsid w:val="00B2621E"/>
    <w:rsid w:val="00B33FD8"/>
    <w:rsid w:val="00B350C6"/>
    <w:rsid w:val="00B362F7"/>
    <w:rsid w:val="00B36B2F"/>
    <w:rsid w:val="00B409F0"/>
    <w:rsid w:val="00B43064"/>
    <w:rsid w:val="00B4657D"/>
    <w:rsid w:val="00B52761"/>
    <w:rsid w:val="00B62DF5"/>
    <w:rsid w:val="00B63E10"/>
    <w:rsid w:val="00B650B6"/>
    <w:rsid w:val="00B7341F"/>
    <w:rsid w:val="00B740CC"/>
    <w:rsid w:val="00B84EB2"/>
    <w:rsid w:val="00B85E8E"/>
    <w:rsid w:val="00B86A10"/>
    <w:rsid w:val="00B93F9C"/>
    <w:rsid w:val="00BA5075"/>
    <w:rsid w:val="00BA65A3"/>
    <w:rsid w:val="00BA7480"/>
    <w:rsid w:val="00BB0A04"/>
    <w:rsid w:val="00BB2FE5"/>
    <w:rsid w:val="00BB7CDA"/>
    <w:rsid w:val="00BC2158"/>
    <w:rsid w:val="00BC3032"/>
    <w:rsid w:val="00BD297C"/>
    <w:rsid w:val="00BD4EAE"/>
    <w:rsid w:val="00BD7602"/>
    <w:rsid w:val="00BE0C8E"/>
    <w:rsid w:val="00BE273A"/>
    <w:rsid w:val="00BE2877"/>
    <w:rsid w:val="00BE2F7C"/>
    <w:rsid w:val="00BF0EA1"/>
    <w:rsid w:val="00BF533F"/>
    <w:rsid w:val="00BF746F"/>
    <w:rsid w:val="00C112D2"/>
    <w:rsid w:val="00C137B0"/>
    <w:rsid w:val="00C1530D"/>
    <w:rsid w:val="00C23086"/>
    <w:rsid w:val="00C26F84"/>
    <w:rsid w:val="00C2701B"/>
    <w:rsid w:val="00C2726A"/>
    <w:rsid w:val="00C31B52"/>
    <w:rsid w:val="00C36D67"/>
    <w:rsid w:val="00C370D1"/>
    <w:rsid w:val="00C40E4C"/>
    <w:rsid w:val="00C47C9E"/>
    <w:rsid w:val="00C47F59"/>
    <w:rsid w:val="00C5255B"/>
    <w:rsid w:val="00C67633"/>
    <w:rsid w:val="00C72B61"/>
    <w:rsid w:val="00C7502D"/>
    <w:rsid w:val="00C82149"/>
    <w:rsid w:val="00C82F7E"/>
    <w:rsid w:val="00C84788"/>
    <w:rsid w:val="00C93766"/>
    <w:rsid w:val="00C96455"/>
    <w:rsid w:val="00CA164C"/>
    <w:rsid w:val="00CB6BDE"/>
    <w:rsid w:val="00CB708E"/>
    <w:rsid w:val="00CB7174"/>
    <w:rsid w:val="00CB7256"/>
    <w:rsid w:val="00CC2860"/>
    <w:rsid w:val="00CC3A96"/>
    <w:rsid w:val="00CC6BFD"/>
    <w:rsid w:val="00CD24F5"/>
    <w:rsid w:val="00CE0843"/>
    <w:rsid w:val="00CF4649"/>
    <w:rsid w:val="00CF4E2A"/>
    <w:rsid w:val="00D079D9"/>
    <w:rsid w:val="00D1109B"/>
    <w:rsid w:val="00D11CA5"/>
    <w:rsid w:val="00D13DD6"/>
    <w:rsid w:val="00D21FDC"/>
    <w:rsid w:val="00D237A1"/>
    <w:rsid w:val="00D33246"/>
    <w:rsid w:val="00D35C48"/>
    <w:rsid w:val="00D3753F"/>
    <w:rsid w:val="00D40839"/>
    <w:rsid w:val="00D42916"/>
    <w:rsid w:val="00D533A9"/>
    <w:rsid w:val="00D54FA9"/>
    <w:rsid w:val="00D5558B"/>
    <w:rsid w:val="00D63D68"/>
    <w:rsid w:val="00D64ED1"/>
    <w:rsid w:val="00D65F18"/>
    <w:rsid w:val="00D700E8"/>
    <w:rsid w:val="00D70D2F"/>
    <w:rsid w:val="00D75D99"/>
    <w:rsid w:val="00D76874"/>
    <w:rsid w:val="00D8583B"/>
    <w:rsid w:val="00D859F1"/>
    <w:rsid w:val="00D91709"/>
    <w:rsid w:val="00D96CA6"/>
    <w:rsid w:val="00D97B3F"/>
    <w:rsid w:val="00DA083E"/>
    <w:rsid w:val="00DA4519"/>
    <w:rsid w:val="00DB127B"/>
    <w:rsid w:val="00DB3C3D"/>
    <w:rsid w:val="00DC0CAB"/>
    <w:rsid w:val="00DC2EBC"/>
    <w:rsid w:val="00DC6F01"/>
    <w:rsid w:val="00DC7E55"/>
    <w:rsid w:val="00DD1F3E"/>
    <w:rsid w:val="00DE70C7"/>
    <w:rsid w:val="00DF4BFC"/>
    <w:rsid w:val="00DF4EA5"/>
    <w:rsid w:val="00DF7006"/>
    <w:rsid w:val="00DF7EB8"/>
    <w:rsid w:val="00E04533"/>
    <w:rsid w:val="00E0526C"/>
    <w:rsid w:val="00E219FA"/>
    <w:rsid w:val="00E250B1"/>
    <w:rsid w:val="00E27DA9"/>
    <w:rsid w:val="00E323A6"/>
    <w:rsid w:val="00E33F5D"/>
    <w:rsid w:val="00E3507B"/>
    <w:rsid w:val="00E37180"/>
    <w:rsid w:val="00E40A96"/>
    <w:rsid w:val="00E4470A"/>
    <w:rsid w:val="00E4643A"/>
    <w:rsid w:val="00E53214"/>
    <w:rsid w:val="00E5468E"/>
    <w:rsid w:val="00E56A38"/>
    <w:rsid w:val="00E56A8D"/>
    <w:rsid w:val="00E60A3D"/>
    <w:rsid w:val="00E61217"/>
    <w:rsid w:val="00E676B7"/>
    <w:rsid w:val="00E67AD9"/>
    <w:rsid w:val="00E92A88"/>
    <w:rsid w:val="00E93348"/>
    <w:rsid w:val="00E939C4"/>
    <w:rsid w:val="00EA5D62"/>
    <w:rsid w:val="00EA6AEB"/>
    <w:rsid w:val="00EA7AB0"/>
    <w:rsid w:val="00EB1959"/>
    <w:rsid w:val="00EB2C14"/>
    <w:rsid w:val="00EB3A01"/>
    <w:rsid w:val="00EB5E0D"/>
    <w:rsid w:val="00ED48BE"/>
    <w:rsid w:val="00ED7E31"/>
    <w:rsid w:val="00EE2C6D"/>
    <w:rsid w:val="00EE48C1"/>
    <w:rsid w:val="00EE4EBB"/>
    <w:rsid w:val="00EE6F83"/>
    <w:rsid w:val="00EE757F"/>
    <w:rsid w:val="00EF22FA"/>
    <w:rsid w:val="00EF35E1"/>
    <w:rsid w:val="00EF4981"/>
    <w:rsid w:val="00F06032"/>
    <w:rsid w:val="00F07866"/>
    <w:rsid w:val="00F12804"/>
    <w:rsid w:val="00F2205D"/>
    <w:rsid w:val="00F2359E"/>
    <w:rsid w:val="00F23AAB"/>
    <w:rsid w:val="00F245EC"/>
    <w:rsid w:val="00F25DE7"/>
    <w:rsid w:val="00F352C3"/>
    <w:rsid w:val="00F45EE6"/>
    <w:rsid w:val="00F46E4B"/>
    <w:rsid w:val="00F533F5"/>
    <w:rsid w:val="00F53D61"/>
    <w:rsid w:val="00F5555E"/>
    <w:rsid w:val="00F55F0A"/>
    <w:rsid w:val="00F649B0"/>
    <w:rsid w:val="00F874D5"/>
    <w:rsid w:val="00F95C38"/>
    <w:rsid w:val="00F96D6D"/>
    <w:rsid w:val="00FA1439"/>
    <w:rsid w:val="00FA27AE"/>
    <w:rsid w:val="00FA4FF4"/>
    <w:rsid w:val="00FB5373"/>
    <w:rsid w:val="00FB5D4E"/>
    <w:rsid w:val="00FB6677"/>
    <w:rsid w:val="00FC0288"/>
    <w:rsid w:val="00FC3C89"/>
    <w:rsid w:val="00FC4D07"/>
    <w:rsid w:val="00FC70A6"/>
    <w:rsid w:val="00FE35A5"/>
    <w:rsid w:val="00FF165D"/>
    <w:rsid w:val="019D1047"/>
    <w:rsid w:val="022278B2"/>
    <w:rsid w:val="04B3020C"/>
    <w:rsid w:val="064C1856"/>
    <w:rsid w:val="0AE41BA8"/>
    <w:rsid w:val="0D0421DB"/>
    <w:rsid w:val="190E7F24"/>
    <w:rsid w:val="1C2A3ADB"/>
    <w:rsid w:val="1DF75C3F"/>
    <w:rsid w:val="21676423"/>
    <w:rsid w:val="2E7655A5"/>
    <w:rsid w:val="3283266F"/>
    <w:rsid w:val="36685709"/>
    <w:rsid w:val="3676374D"/>
    <w:rsid w:val="37357164"/>
    <w:rsid w:val="375632C9"/>
    <w:rsid w:val="3A561485"/>
    <w:rsid w:val="3F067638"/>
    <w:rsid w:val="404C551E"/>
    <w:rsid w:val="43CC0E50"/>
    <w:rsid w:val="4D534DD0"/>
    <w:rsid w:val="599453B6"/>
    <w:rsid w:val="5B3D4EC1"/>
    <w:rsid w:val="60782DE9"/>
    <w:rsid w:val="61B52268"/>
    <w:rsid w:val="665D3F04"/>
    <w:rsid w:val="673D5A3D"/>
    <w:rsid w:val="67D068B1"/>
    <w:rsid w:val="6BD81A77"/>
    <w:rsid w:val="6EF05754"/>
    <w:rsid w:val="757C1E26"/>
    <w:rsid w:val="76C52C0F"/>
    <w:rsid w:val="782C6BF0"/>
  </w:rsids>
  <m:mathPr>
    <m:mathFont m:val="Cambria Math"/>
    <m:brkBin m:val="before"/>
    <m:brkBinSub m:val="--"/>
    <m:smallFrac m:val="1"/>
    <m:dispDef/>
    <m:lMargin m:val="0"/>
    <m:rMargin m:val="0"/>
    <m:defJc m:val="centerGroup"/>
    <m:wrapIndent m:val="1440"/>
    <m:intLim m:val="subSup"/>
    <m:naryLim m:val="undOvr"/>
  </m:mathPr>
  <w:themeFontLang w:val="mn-M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tabs>
        <w:tab w:val="left" w:pos="420"/>
        <w:tab w:val="left" w:pos="1050"/>
      </w:tabs>
      <w:ind w:firstLine="567"/>
      <w:jc w:val="center"/>
      <w:outlineLvl w:val="0"/>
    </w:pPr>
    <w:rPr>
      <w:rFonts w:ascii="仿宋_GB2312" w:eastAsia="黑体"/>
      <w:b/>
      <w:sz w:val="32"/>
      <w:szCs w:val="20"/>
    </w:rPr>
  </w:style>
  <w:style w:type="paragraph" w:styleId="3">
    <w:name w:val="heading 2"/>
    <w:basedOn w:val="1"/>
    <w:next w:val="1"/>
    <w:link w:val="27"/>
    <w:qFormat/>
    <w:uiPriority w:val="0"/>
    <w:pPr>
      <w:spacing w:line="400" w:lineRule="exact"/>
      <w:ind w:firstLine="90" w:firstLineChars="90"/>
      <w:jc w:val="left"/>
      <w:outlineLvl w:val="1"/>
    </w:pPr>
    <w:rPr>
      <w:rFonts w:ascii="宋体" w:hAnsi="宋体"/>
      <w:b/>
      <w:sz w:val="24"/>
    </w:rPr>
  </w:style>
  <w:style w:type="paragraph" w:styleId="4">
    <w:name w:val="heading 3"/>
    <w:basedOn w:val="1"/>
    <w:next w:val="1"/>
    <w:link w:val="28"/>
    <w:qFormat/>
    <w:uiPriority w:val="0"/>
    <w:pPr>
      <w:keepNext/>
      <w:keepLines/>
      <w:spacing w:before="260" w:after="260" w:line="416" w:lineRule="auto"/>
      <w:outlineLvl w:val="2"/>
    </w:pPr>
    <w:rPr>
      <w:b/>
      <w:bCs/>
      <w:sz w:val="32"/>
      <w:szCs w:val="32"/>
    </w:rPr>
  </w:style>
  <w:style w:type="paragraph" w:styleId="5">
    <w:name w:val="heading 4"/>
    <w:basedOn w:val="1"/>
    <w:next w:val="1"/>
    <w:link w:val="2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0"/>
    <w:unhideWhenUsed/>
    <w:qFormat/>
    <w:uiPriority w:val="0"/>
    <w:pPr>
      <w:jc w:val="left"/>
    </w:pPr>
  </w:style>
  <w:style w:type="paragraph" w:styleId="7">
    <w:name w:val="Body Text"/>
    <w:basedOn w:val="1"/>
    <w:link w:val="32"/>
    <w:qFormat/>
    <w:uiPriority w:val="0"/>
    <w:rPr>
      <w:sz w:val="30"/>
      <w:szCs w:val="20"/>
    </w:rPr>
  </w:style>
  <w:style w:type="paragraph" w:styleId="8">
    <w:name w:val="Plain Text"/>
    <w:basedOn w:val="1"/>
    <w:link w:val="33"/>
    <w:qFormat/>
    <w:uiPriority w:val="0"/>
    <w:rPr>
      <w:rFonts w:ascii="宋体" w:hAnsi="Courier New"/>
      <w:szCs w:val="21"/>
    </w:rPr>
  </w:style>
  <w:style w:type="paragraph" w:styleId="9">
    <w:name w:val="Balloon Text"/>
    <w:basedOn w:val="1"/>
    <w:link w:val="34"/>
    <w:semiHidden/>
    <w:qFormat/>
    <w:uiPriority w:val="0"/>
    <w:rPr>
      <w:sz w:val="18"/>
      <w:szCs w:val="18"/>
    </w:rPr>
  </w:style>
  <w:style w:type="paragraph" w:styleId="10">
    <w:name w:val="footer"/>
    <w:basedOn w:val="1"/>
    <w:link w:val="35"/>
    <w:qFormat/>
    <w:uiPriority w:val="99"/>
    <w:pPr>
      <w:tabs>
        <w:tab w:val="center" w:pos="4153"/>
        <w:tab w:val="right" w:pos="8306"/>
      </w:tabs>
      <w:snapToGrid w:val="0"/>
      <w:jc w:val="left"/>
    </w:pPr>
    <w:rPr>
      <w:sz w:val="18"/>
      <w:szCs w:val="18"/>
    </w:rPr>
  </w:style>
  <w:style w:type="paragraph" w:styleId="11">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footnote text"/>
    <w:basedOn w:val="1"/>
    <w:link w:val="37"/>
    <w:qFormat/>
    <w:uiPriority w:val="0"/>
    <w:pPr>
      <w:snapToGrid w:val="0"/>
      <w:jc w:val="left"/>
    </w:pPr>
    <w:rPr>
      <w:sz w:val="18"/>
      <w:szCs w:val="18"/>
    </w:rPr>
  </w:style>
  <w:style w:type="paragraph" w:styleId="14">
    <w:name w:val="toc 2"/>
    <w:basedOn w:val="1"/>
    <w:next w:val="1"/>
    <w:qFormat/>
    <w:uiPriority w:val="39"/>
    <w:pPr>
      <w:tabs>
        <w:tab w:val="right" w:leader="dot" w:pos="9060"/>
      </w:tabs>
      <w:ind w:left="420" w:leftChars="200"/>
    </w:pPr>
  </w:style>
  <w:style w:type="paragraph" w:styleId="15">
    <w:name w:val="HTML Preformatted"/>
    <w:basedOn w:val="1"/>
    <w:link w:val="3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olor w:val="000000"/>
      <w:kern w:val="0"/>
      <w:sz w:val="18"/>
      <w:szCs w:val="18"/>
    </w:rPr>
  </w:style>
  <w:style w:type="paragraph" w:styleId="17">
    <w:name w:val="annotation subject"/>
    <w:basedOn w:val="6"/>
    <w:next w:val="6"/>
    <w:link w:val="31"/>
    <w:qFormat/>
    <w:uiPriority w:val="0"/>
    <w:rPr>
      <w:b/>
      <w:bCs/>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qFormat/>
    <w:uiPriority w:val="22"/>
    <w:rPr>
      <w:b/>
      <w:bCs/>
    </w:rPr>
  </w:style>
  <w:style w:type="character" w:styleId="22">
    <w:name w:val="page number"/>
    <w:basedOn w:val="20"/>
    <w:qFormat/>
    <w:uiPriority w:val="0"/>
  </w:style>
  <w:style w:type="character" w:styleId="23">
    <w:name w:val="Hyperlink"/>
    <w:unhideWhenUsed/>
    <w:qFormat/>
    <w:uiPriority w:val="99"/>
    <w:rPr>
      <w:color w:val="0000FF"/>
      <w:u w:val="single"/>
    </w:rPr>
  </w:style>
  <w:style w:type="character" w:styleId="24">
    <w:name w:val="annotation reference"/>
    <w:basedOn w:val="20"/>
    <w:qFormat/>
    <w:uiPriority w:val="0"/>
    <w:rPr>
      <w:sz w:val="21"/>
      <w:szCs w:val="21"/>
    </w:rPr>
  </w:style>
  <w:style w:type="character" w:styleId="25">
    <w:name w:val="footnote reference"/>
    <w:basedOn w:val="20"/>
    <w:qFormat/>
    <w:uiPriority w:val="0"/>
    <w:rPr>
      <w:vertAlign w:val="superscript"/>
    </w:rPr>
  </w:style>
  <w:style w:type="character" w:customStyle="1" w:styleId="26">
    <w:name w:val="标题 1 Char"/>
    <w:basedOn w:val="20"/>
    <w:link w:val="2"/>
    <w:qFormat/>
    <w:uiPriority w:val="0"/>
    <w:rPr>
      <w:rFonts w:ascii="仿宋_GB2312" w:hAnsi="Times New Roman" w:eastAsia="黑体" w:cs="Times New Roman"/>
      <w:b/>
      <w:sz w:val="32"/>
      <w:szCs w:val="20"/>
    </w:rPr>
  </w:style>
  <w:style w:type="character" w:customStyle="1" w:styleId="27">
    <w:name w:val="标题 2 Char"/>
    <w:basedOn w:val="20"/>
    <w:link w:val="3"/>
    <w:qFormat/>
    <w:uiPriority w:val="0"/>
    <w:rPr>
      <w:rFonts w:ascii="宋体" w:hAnsi="宋体" w:eastAsia="宋体" w:cs="Times New Roman"/>
      <w:b/>
      <w:sz w:val="24"/>
      <w:szCs w:val="24"/>
    </w:rPr>
  </w:style>
  <w:style w:type="character" w:customStyle="1" w:styleId="28">
    <w:name w:val="标题 3 Char"/>
    <w:basedOn w:val="20"/>
    <w:link w:val="4"/>
    <w:qFormat/>
    <w:uiPriority w:val="0"/>
    <w:rPr>
      <w:rFonts w:ascii="Times New Roman" w:hAnsi="Times New Roman" w:eastAsia="宋体" w:cs="Times New Roman"/>
      <w:b/>
      <w:bCs/>
      <w:sz w:val="32"/>
      <w:szCs w:val="32"/>
    </w:rPr>
  </w:style>
  <w:style w:type="character" w:customStyle="1" w:styleId="29">
    <w:name w:val="标题 4 Char"/>
    <w:basedOn w:val="20"/>
    <w:link w:val="5"/>
    <w:qFormat/>
    <w:uiPriority w:val="0"/>
    <w:rPr>
      <w:rFonts w:asciiTheme="majorHAnsi" w:hAnsiTheme="majorHAnsi" w:eastAsiaTheme="majorEastAsia" w:cstheme="majorBidi"/>
      <w:b/>
      <w:bCs/>
      <w:sz w:val="28"/>
      <w:szCs w:val="28"/>
    </w:rPr>
  </w:style>
  <w:style w:type="character" w:customStyle="1" w:styleId="30">
    <w:name w:val="批注文字 Char"/>
    <w:basedOn w:val="20"/>
    <w:link w:val="6"/>
    <w:qFormat/>
    <w:uiPriority w:val="0"/>
    <w:rPr>
      <w:rFonts w:ascii="Times New Roman" w:hAnsi="Times New Roman" w:eastAsia="宋体" w:cs="Times New Roman"/>
      <w:szCs w:val="24"/>
    </w:rPr>
  </w:style>
  <w:style w:type="character" w:customStyle="1" w:styleId="31">
    <w:name w:val="批注主题 Char"/>
    <w:basedOn w:val="30"/>
    <w:link w:val="17"/>
    <w:qFormat/>
    <w:uiPriority w:val="0"/>
    <w:rPr>
      <w:rFonts w:ascii="Times New Roman" w:hAnsi="Times New Roman" w:eastAsia="宋体" w:cs="Times New Roman"/>
      <w:b/>
      <w:bCs/>
      <w:szCs w:val="24"/>
    </w:rPr>
  </w:style>
  <w:style w:type="character" w:customStyle="1" w:styleId="32">
    <w:name w:val="正文文本 Char"/>
    <w:basedOn w:val="20"/>
    <w:link w:val="7"/>
    <w:qFormat/>
    <w:uiPriority w:val="0"/>
    <w:rPr>
      <w:rFonts w:ascii="Times New Roman" w:hAnsi="Times New Roman" w:eastAsia="宋体" w:cs="Times New Roman"/>
      <w:sz w:val="30"/>
      <w:szCs w:val="20"/>
    </w:rPr>
  </w:style>
  <w:style w:type="character" w:customStyle="1" w:styleId="33">
    <w:name w:val="纯文本 Char"/>
    <w:basedOn w:val="20"/>
    <w:link w:val="8"/>
    <w:qFormat/>
    <w:uiPriority w:val="0"/>
    <w:rPr>
      <w:rFonts w:ascii="宋体" w:hAnsi="Courier New" w:eastAsia="宋体" w:cs="Times New Roman"/>
      <w:szCs w:val="21"/>
    </w:rPr>
  </w:style>
  <w:style w:type="character" w:customStyle="1" w:styleId="34">
    <w:name w:val="批注框文本 Char"/>
    <w:basedOn w:val="20"/>
    <w:link w:val="9"/>
    <w:semiHidden/>
    <w:qFormat/>
    <w:uiPriority w:val="0"/>
    <w:rPr>
      <w:rFonts w:ascii="Times New Roman" w:hAnsi="Times New Roman" w:eastAsia="宋体" w:cs="Times New Roman"/>
      <w:sz w:val="18"/>
      <w:szCs w:val="18"/>
    </w:rPr>
  </w:style>
  <w:style w:type="character" w:customStyle="1" w:styleId="35">
    <w:name w:val="页脚 Char"/>
    <w:basedOn w:val="20"/>
    <w:link w:val="10"/>
    <w:qFormat/>
    <w:uiPriority w:val="99"/>
    <w:rPr>
      <w:rFonts w:ascii="Times New Roman" w:hAnsi="Times New Roman" w:eastAsia="宋体" w:cs="Times New Roman"/>
      <w:sz w:val="18"/>
      <w:szCs w:val="18"/>
    </w:rPr>
  </w:style>
  <w:style w:type="character" w:customStyle="1" w:styleId="36">
    <w:name w:val="页眉 Char"/>
    <w:basedOn w:val="20"/>
    <w:link w:val="11"/>
    <w:qFormat/>
    <w:uiPriority w:val="0"/>
    <w:rPr>
      <w:rFonts w:ascii="Times New Roman" w:hAnsi="Times New Roman" w:eastAsia="宋体" w:cs="Times New Roman"/>
      <w:sz w:val="18"/>
      <w:szCs w:val="18"/>
    </w:rPr>
  </w:style>
  <w:style w:type="character" w:customStyle="1" w:styleId="37">
    <w:name w:val="脚注文本 Char"/>
    <w:basedOn w:val="20"/>
    <w:link w:val="13"/>
    <w:qFormat/>
    <w:uiPriority w:val="0"/>
    <w:rPr>
      <w:rFonts w:ascii="Times New Roman" w:hAnsi="Times New Roman" w:eastAsia="宋体" w:cs="Times New Roman"/>
      <w:sz w:val="18"/>
      <w:szCs w:val="18"/>
    </w:rPr>
  </w:style>
  <w:style w:type="character" w:customStyle="1" w:styleId="38">
    <w:name w:val="HTML 预设格式 Char"/>
    <w:basedOn w:val="20"/>
    <w:link w:val="15"/>
    <w:qFormat/>
    <w:uiPriority w:val="99"/>
    <w:rPr>
      <w:rFonts w:ascii="宋体" w:hAnsi="宋体" w:eastAsia="宋体" w:cs="宋体"/>
      <w:kern w:val="0"/>
      <w:sz w:val="24"/>
      <w:szCs w:val="24"/>
    </w:rPr>
  </w:style>
  <w:style w:type="paragraph" w:customStyle="1" w:styleId="39">
    <w:name w:val="Char Char Char Char"/>
    <w:basedOn w:val="1"/>
    <w:qFormat/>
    <w:uiPriority w:val="0"/>
    <w:rPr>
      <w:rFonts w:ascii="Tahoma" w:hAnsi="Tahoma"/>
      <w:sz w:val="24"/>
      <w:szCs w:val="20"/>
    </w:rPr>
  </w:style>
  <w:style w:type="character" w:customStyle="1" w:styleId="40">
    <w:name w:val="style81"/>
    <w:qFormat/>
    <w:uiPriority w:val="0"/>
    <w:rPr>
      <w:color w:val="FF6600"/>
    </w:rPr>
  </w:style>
  <w:style w:type="paragraph" w:customStyle="1" w:styleId="41">
    <w:name w:val="列出段落1"/>
    <w:basedOn w:val="1"/>
    <w:qFormat/>
    <w:uiPriority w:val="0"/>
    <w:pPr>
      <w:ind w:firstLine="420" w:firstLineChars="200"/>
    </w:pPr>
    <w:rPr>
      <w:rFonts w:ascii="Calibri" w:hAnsi="Calibri"/>
      <w:szCs w:val="22"/>
    </w:rPr>
  </w:style>
  <w:style w:type="paragraph" w:customStyle="1" w:styleId="42">
    <w:name w:val="TOC 标题1"/>
    <w:basedOn w:val="2"/>
    <w:next w:val="1"/>
    <w:unhideWhenUsed/>
    <w:qFormat/>
    <w:uiPriority w:val="39"/>
    <w:pPr>
      <w:keepLines/>
      <w:widowControl/>
      <w:tabs>
        <w:tab w:val="clear" w:pos="420"/>
        <w:tab w:val="clear" w:pos="1050"/>
      </w:tabs>
      <w:spacing w:before="480" w:line="276" w:lineRule="auto"/>
      <w:ind w:firstLine="0"/>
      <w:jc w:val="left"/>
      <w:outlineLvl w:val="9"/>
    </w:pPr>
    <w:rPr>
      <w:rFonts w:ascii="Cambria" w:hAnsi="Cambria" w:eastAsia="宋体"/>
      <w:bCs/>
      <w:color w:val="365F91"/>
      <w:kern w:val="0"/>
      <w:sz w:val="28"/>
      <w:szCs w:val="28"/>
    </w:rPr>
  </w:style>
  <w:style w:type="paragraph" w:customStyle="1" w:styleId="43">
    <w:name w:val="Default"/>
    <w:qFormat/>
    <w:uiPriority w:val="0"/>
    <w:pPr>
      <w:widowControl w:val="0"/>
      <w:autoSpaceDE w:val="0"/>
      <w:autoSpaceDN w:val="0"/>
      <w:adjustRightInd w:val="0"/>
      <w:spacing w:after="160" w:line="259" w:lineRule="auto"/>
    </w:pPr>
    <w:rPr>
      <w:rFonts w:ascii="楷体_GB2312" w:hAnsi="Times New Roman" w:eastAsia="楷体_GB2312" w:cs="Times New Roman"/>
      <w:color w:val="000000"/>
      <w:sz w:val="24"/>
      <w:lang w:val="en-US" w:eastAsia="zh-CN" w:bidi="ar-SA"/>
    </w:rPr>
  </w:style>
  <w:style w:type="paragraph" w:customStyle="1" w:styleId="44">
    <w:name w:val="样式 普通(网站) + 小四 自动设置 行距: 多倍行距 1.3 字行"/>
    <w:basedOn w:val="16"/>
    <w:qFormat/>
    <w:uiPriority w:val="0"/>
    <w:pPr>
      <w:spacing w:before="0" w:beforeAutospacing="0" w:after="0" w:afterAutospacing="0" w:line="360" w:lineRule="auto"/>
    </w:pPr>
    <w:rPr>
      <w:rFonts w:cs="宋体"/>
      <w:color w:val="auto"/>
      <w:sz w:val="24"/>
      <w:szCs w:val="20"/>
    </w:rPr>
  </w:style>
  <w:style w:type="paragraph" w:customStyle="1" w:styleId="45">
    <w:name w:val="样式 普通(网站) + 行距: 多倍行距 1.3 字行"/>
    <w:basedOn w:val="16"/>
    <w:qFormat/>
    <w:uiPriority w:val="0"/>
    <w:pPr>
      <w:spacing w:before="0" w:beforeAutospacing="0" w:after="0" w:afterAutospacing="0" w:line="360" w:lineRule="auto"/>
    </w:pPr>
    <w:rPr>
      <w:rFonts w:cs="宋体"/>
      <w:szCs w:val="20"/>
    </w:rPr>
  </w:style>
  <w:style w:type="character" w:customStyle="1" w:styleId="46">
    <w:name w:val="页脚 Char Char"/>
    <w:basedOn w:val="20"/>
    <w:qFormat/>
    <w:uiPriority w:val="0"/>
    <w:rPr>
      <w:rFonts w:cs="宋体"/>
      <w:kern w:val="2"/>
      <w:sz w:val="18"/>
      <w:szCs w:val="18"/>
    </w:rPr>
  </w:style>
  <w:style w:type="paragraph" w:styleId="47">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D7FF09-AC43-44D6-A662-2E4CC55962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2665</Words>
  <Characters>17229</Characters>
  <Lines>224</Lines>
  <Paragraphs>63</Paragraphs>
  <TotalTime>0</TotalTime>
  <ScaleCrop>false</ScaleCrop>
  <LinksUpToDate>false</LinksUpToDate>
  <CharactersWithSpaces>21190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2025-01-27T10:10:00Z</dcterms:created>
  <dc:creator>null</dc:creator>
  <cp:lastModifiedBy>行不行觉得</cp:lastModifiedBy>
  <dcterms:modified xsi:type="dcterms:W3CDTF">2026-02-04T10:57:51Z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A976965168CD481888134FB06C7C69D5_12</vt:lpwstr>
  </property>
  <property fmtid="{D5CDD505-2E9C-101B-9397-08002B2CF9AE}" pid="4" name="KSOTemplateDocerSaveRecord">
    <vt:lpwstr>eyJoZGlkIjoiMzI1NjQxZTcxNGJkMGMzZDNkOTE0Y2ZmMjBhMmY3ZmIiLCJ1c2VySWQiOiI0ODE0ODU0ODYifQ==</vt:lpwstr>
  </property>
</Properties>
</file>