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480" w:firstLine="3360"/>
        <w:jc w:val="center"/>
        <w:rPr>
          <w:rFonts w:ascii="黑体" w:eastAsia="黑体"/>
          <w:b/>
          <w:sz w:val="84"/>
          <w:szCs w:val="84"/>
        </w:rPr>
      </w:pPr>
      <w:bookmarkStart w:id="0" w:name="_Hlk182755896"/>
      <w:bookmarkEnd w:id="0"/>
      <w:r>
        <w:rPr>
          <w:rFonts w:ascii="黑体" w:eastAsia="黑体"/>
          <w:b/>
          <w:sz w:val="84"/>
          <w:szCs w:val="84"/>
        </w:rPr>
        <w:drawing>
          <wp:anchor distT="0" distB="0" distL="114300" distR="114300" simplePos="0" relativeHeight="251665408" behindDoc="0" locked="0" layoutInCell="1" allowOverlap="1">
            <wp:simplePos x="0" y="0"/>
            <wp:positionH relativeFrom="column">
              <wp:posOffset>2644775</wp:posOffset>
            </wp:positionH>
            <wp:positionV relativeFrom="paragraph">
              <wp:posOffset>172085</wp:posOffset>
            </wp:positionV>
            <wp:extent cx="800735" cy="758825"/>
            <wp:effectExtent l="0" t="0" r="18415" b="3175"/>
            <wp:wrapNone/>
            <wp:docPr id="1" name="图片 35"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图形1"/>
                    <pic:cNvPicPr>
                      <a:picLocks noChangeAspect="1"/>
                    </pic:cNvPicPr>
                  </pic:nvPicPr>
                  <pic:blipFill>
                    <a:blip r:embed="rId19"/>
                    <a:stretch>
                      <a:fillRect/>
                    </a:stretch>
                  </pic:blipFill>
                  <pic:spPr>
                    <a:xfrm>
                      <a:off x="0" y="0"/>
                      <a:ext cx="800735" cy="758825"/>
                    </a:xfrm>
                    <a:prstGeom prst="rect">
                      <a:avLst/>
                    </a:prstGeom>
                    <a:noFill/>
                    <a:ln>
                      <a:noFill/>
                    </a:ln>
                  </pic:spPr>
                </pic:pic>
              </a:graphicData>
            </a:graphic>
          </wp:anchor>
        </w:drawing>
      </w:r>
    </w:p>
    <w:p>
      <w:pPr>
        <w:spacing w:line="800" w:lineRule="exact"/>
        <w:ind w:left="480" w:firstLine="3360"/>
        <w:jc w:val="center"/>
        <w:rPr>
          <w:rFonts w:ascii="宋体" w:hAnsi="宋体"/>
          <w:b/>
          <w:sz w:val="84"/>
          <w:szCs w:val="84"/>
        </w:rPr>
      </w:pPr>
    </w:p>
    <w:p>
      <w:pPr>
        <w:spacing w:line="800" w:lineRule="exact"/>
        <w:ind w:left="480" w:firstLine="3360"/>
        <w:jc w:val="center"/>
        <w:rPr>
          <w:rFonts w:ascii="宋体" w:hAnsi="宋体"/>
          <w:b/>
          <w:sz w:val="84"/>
          <w:szCs w:val="84"/>
        </w:rPr>
      </w:pPr>
    </w:p>
    <w:p>
      <w:pPr>
        <w:spacing w:line="800" w:lineRule="exact"/>
        <w:ind w:left="480" w:firstLine="2088"/>
        <w:jc w:val="both"/>
        <w:rPr>
          <w:b/>
          <w:sz w:val="52"/>
          <w:szCs w:val="52"/>
          <w:lang w:val="mn-MN"/>
        </w:rPr>
      </w:pPr>
      <w:r>
        <w:rPr>
          <w:b/>
          <w:sz w:val="52"/>
          <w:szCs w:val="52"/>
          <w:cs/>
          <w:lang w:val="mn-MN"/>
        </w:rPr>
        <w:t>Шинь Шинь ХХК</w:t>
      </w:r>
    </w:p>
    <w:p>
      <w:pPr>
        <w:spacing w:line="800" w:lineRule="exact"/>
        <w:ind w:left="480" w:firstLine="2080"/>
        <w:jc w:val="both"/>
        <w:rPr>
          <w:rFonts w:ascii="宋体" w:hAnsi="宋体"/>
          <w:b/>
          <w:sz w:val="44"/>
          <w:szCs w:val="44"/>
        </w:rPr>
      </w:pPr>
      <w:r>
        <w:rPr>
          <w:rFonts w:hint="eastAsia" w:ascii="宋体" w:hAnsi="宋体"/>
          <w:b/>
          <w:sz w:val="52"/>
          <w:szCs w:val="52"/>
        </w:rPr>
        <w:t>新鑫有限责任公司</w:t>
      </w:r>
    </w:p>
    <w:p>
      <w:pPr>
        <w:spacing w:line="800" w:lineRule="exact"/>
        <w:ind w:left="480" w:firstLine="1767"/>
        <w:jc w:val="both"/>
        <w:rPr>
          <w:b/>
          <w:sz w:val="44"/>
          <w:szCs w:val="44"/>
          <w:lang w:val="mn-MN"/>
        </w:rPr>
      </w:pPr>
      <w:r>
        <w:rPr>
          <w:b/>
          <w:sz w:val="44"/>
          <w:szCs w:val="44"/>
          <w:cs/>
          <w:lang w:val="mn-MN"/>
        </w:rPr>
        <w:t>Тендэрийн бичиг баримт</w:t>
      </w:r>
    </w:p>
    <w:p>
      <w:pPr>
        <w:spacing w:line="800" w:lineRule="exact"/>
        <w:ind w:firstLine="3654" w:firstLineChars="700"/>
        <w:jc w:val="both"/>
        <w:rPr>
          <w:rFonts w:ascii="宋体" w:hAnsi="宋体"/>
          <w:b/>
          <w:sz w:val="52"/>
          <w:szCs w:val="52"/>
        </w:rPr>
      </w:pPr>
      <w:r>
        <w:rPr>
          <w:rFonts w:hint="eastAsia" w:ascii="宋体" w:hAnsi="宋体"/>
          <w:b/>
          <w:sz w:val="52"/>
          <w:szCs w:val="52"/>
        </w:rPr>
        <w:t>招标文件</w:t>
      </w:r>
    </w:p>
    <w:p>
      <w:pPr>
        <w:spacing w:line="800" w:lineRule="exact"/>
        <w:ind w:firstLine="1767"/>
        <w:rPr>
          <w:rFonts w:ascii="宋体" w:hAnsi="宋体"/>
          <w:b/>
          <w:sz w:val="44"/>
          <w:szCs w:val="44"/>
          <w:cs/>
          <w:lang w:val="mn-MN"/>
        </w:rPr>
      </w:pPr>
    </w:p>
    <w:p>
      <w:pPr>
        <w:spacing w:line="800" w:lineRule="exact"/>
        <w:ind w:firstLine="1767"/>
        <w:jc w:val="both"/>
        <w:rPr>
          <w:rFonts w:asciiTheme="minorHAnsi" w:hAnsiTheme="minorHAnsi"/>
          <w:b/>
          <w:sz w:val="44"/>
          <w:szCs w:val="44"/>
          <w:lang w:val="mn-MN"/>
        </w:rPr>
      </w:pPr>
      <w:r>
        <w:rPr>
          <w:rFonts w:ascii="宋体" w:hAnsi="宋体"/>
          <w:b/>
          <w:sz w:val="44"/>
          <w:szCs w:val="44"/>
          <w:cs/>
          <w:lang w:val="mn-MN"/>
        </w:rPr>
        <w:t xml:space="preserve">Төслийн нэр: </w:t>
      </w:r>
      <w:r>
        <w:rPr>
          <w:rFonts w:asciiTheme="minorHAnsi" w:hAnsiTheme="minorHAnsi"/>
          <w:b/>
          <w:sz w:val="44"/>
          <w:szCs w:val="44"/>
          <w:lang w:val="mn-MN"/>
        </w:rPr>
        <w:t>Баяжмал</w:t>
      </w:r>
      <w:r>
        <w:rPr>
          <w:rFonts w:asciiTheme="minorHAnsi" w:hAnsiTheme="minorHAnsi"/>
          <w:b/>
          <w:sz w:val="44"/>
          <w:szCs w:val="44"/>
        </w:rPr>
        <w:t xml:space="preserve"> </w:t>
      </w:r>
      <w:r>
        <w:rPr>
          <w:rFonts w:asciiTheme="minorHAnsi" w:hAnsiTheme="minorHAnsi"/>
          <w:b/>
          <w:sz w:val="44"/>
          <w:szCs w:val="44"/>
          <w:lang w:val="mn-MN"/>
        </w:rPr>
        <w:t xml:space="preserve">тээвэр  </w:t>
      </w:r>
    </w:p>
    <w:p>
      <w:pPr>
        <w:spacing w:line="800" w:lineRule="exact"/>
        <w:ind w:firstLine="2530" w:firstLineChars="700"/>
        <w:jc w:val="both"/>
        <w:rPr>
          <w:rFonts w:ascii="宋体" w:hAnsi="宋体"/>
          <w:b/>
          <w:color w:val="C00000"/>
          <w:sz w:val="36"/>
          <w:szCs w:val="36"/>
        </w:rPr>
      </w:pPr>
      <w:r>
        <w:rPr>
          <w:rFonts w:hint="eastAsia" w:ascii="宋体" w:hAnsi="宋体"/>
          <w:b/>
          <w:sz w:val="36"/>
          <w:szCs w:val="36"/>
        </w:rPr>
        <w:t>项目名称：精矿粉汽车运输</w:t>
      </w:r>
    </w:p>
    <w:p>
      <w:pPr>
        <w:spacing w:line="800" w:lineRule="exact"/>
        <w:ind w:firstLine="1325" w:firstLineChars="300"/>
        <w:jc w:val="both"/>
        <w:rPr>
          <w:rFonts w:hint="eastAsia" w:ascii="宋体" w:hAnsi="宋体" w:eastAsia="宋体"/>
          <w:b/>
          <w:sz w:val="44"/>
          <w:szCs w:val="44"/>
          <w:cs/>
          <w:lang w:val="en-US" w:eastAsia="zh-CN"/>
        </w:rPr>
      </w:pPr>
      <w:r>
        <w:rPr>
          <w:rFonts w:ascii="宋体" w:hAnsi="宋体"/>
          <w:b/>
          <w:sz w:val="44"/>
          <w:szCs w:val="44"/>
          <w:cs/>
          <w:lang w:val="mn-MN"/>
        </w:rPr>
        <w:t xml:space="preserve">Тендэрийн дугаар: </w:t>
      </w:r>
      <w:r>
        <w:rPr>
          <w:rFonts w:hint="eastAsia" w:ascii="宋体" w:hAnsi="宋体"/>
          <w:b/>
          <w:sz w:val="44"/>
          <w:szCs w:val="44"/>
        </w:rPr>
        <w:t>XX</w:t>
      </w:r>
      <w:r>
        <w:rPr>
          <w:rFonts w:ascii="宋体" w:hAnsi="宋体"/>
          <w:b/>
          <w:sz w:val="44"/>
          <w:szCs w:val="44"/>
        </w:rPr>
        <w:t>QD</w:t>
      </w:r>
      <w:r>
        <w:rPr>
          <w:rFonts w:hint="eastAsia" w:ascii="宋体" w:hAnsi="宋体"/>
          <w:b/>
          <w:sz w:val="44"/>
          <w:szCs w:val="44"/>
        </w:rPr>
        <w:t>YS-202</w:t>
      </w:r>
      <w:r>
        <w:rPr>
          <w:rFonts w:hint="eastAsia" w:ascii="宋体" w:hAnsi="宋体"/>
          <w:b/>
          <w:sz w:val="44"/>
          <w:szCs w:val="44"/>
          <w:lang w:val="en-US" w:eastAsia="zh-CN"/>
        </w:rPr>
        <w:t>6</w:t>
      </w:r>
      <w:r>
        <w:rPr>
          <w:rFonts w:hint="eastAsia" w:ascii="宋体" w:hAnsi="宋体"/>
          <w:b/>
          <w:sz w:val="44"/>
          <w:szCs w:val="44"/>
        </w:rPr>
        <w:t>00</w:t>
      </w:r>
      <w:r>
        <w:rPr>
          <w:rFonts w:hint="eastAsia" w:ascii="宋体" w:hAnsi="宋体"/>
          <w:b/>
          <w:sz w:val="44"/>
          <w:szCs w:val="44"/>
          <w:lang w:val="en-US" w:eastAsia="zh-CN"/>
        </w:rPr>
        <w:t>2</w:t>
      </w:r>
    </w:p>
    <w:p>
      <w:pPr>
        <w:spacing w:line="800" w:lineRule="exact"/>
        <w:jc w:val="center"/>
        <w:rPr>
          <w:rFonts w:hint="eastAsia" w:ascii="宋体" w:hAnsi="宋体" w:eastAsia="宋体"/>
          <w:b/>
          <w:color w:val="C00000"/>
          <w:sz w:val="36"/>
          <w:szCs w:val="36"/>
          <w:lang w:val="en-US" w:eastAsia="zh-CN"/>
        </w:rPr>
      </w:pPr>
      <w:r>
        <w:rPr>
          <w:rFonts w:hint="eastAsia" w:ascii="宋体" w:hAnsi="宋体"/>
          <w:b/>
          <w:sz w:val="36"/>
          <w:szCs w:val="36"/>
        </w:rPr>
        <w:t>招标编号：XX</w:t>
      </w:r>
      <w:r>
        <w:rPr>
          <w:rFonts w:ascii="宋体" w:hAnsi="宋体"/>
          <w:b/>
          <w:sz w:val="36"/>
          <w:szCs w:val="36"/>
        </w:rPr>
        <w:t>QD</w:t>
      </w:r>
      <w:r>
        <w:rPr>
          <w:rFonts w:hint="eastAsia" w:ascii="宋体" w:hAnsi="宋体"/>
          <w:b/>
          <w:sz w:val="36"/>
          <w:szCs w:val="36"/>
        </w:rPr>
        <w:t>YS-202</w:t>
      </w:r>
      <w:r>
        <w:rPr>
          <w:rFonts w:hint="eastAsia" w:ascii="宋体" w:hAnsi="宋体"/>
          <w:b/>
          <w:sz w:val="36"/>
          <w:szCs w:val="36"/>
          <w:lang w:val="en-US" w:eastAsia="zh-CN"/>
        </w:rPr>
        <w:t>6</w:t>
      </w:r>
      <w:r>
        <w:rPr>
          <w:rFonts w:hint="eastAsia" w:ascii="宋体" w:hAnsi="宋体"/>
          <w:b/>
          <w:sz w:val="36"/>
          <w:szCs w:val="36"/>
        </w:rPr>
        <w:t>00</w:t>
      </w:r>
      <w:r>
        <w:rPr>
          <w:rFonts w:hint="eastAsia" w:ascii="宋体" w:hAnsi="宋体"/>
          <w:b/>
          <w:sz w:val="36"/>
          <w:szCs w:val="36"/>
          <w:lang w:val="en-US" w:eastAsia="zh-CN"/>
        </w:rPr>
        <w:t>2</w:t>
      </w:r>
    </w:p>
    <w:p>
      <w:pPr>
        <w:spacing w:line="800" w:lineRule="exact"/>
        <w:ind w:left="480" w:firstLine="1446" w:firstLineChars="450"/>
        <w:rPr>
          <w:rFonts w:ascii="宋体" w:hAnsi="宋体"/>
          <w:b/>
          <w:sz w:val="32"/>
          <w:szCs w:val="32"/>
        </w:rPr>
      </w:pPr>
    </w:p>
    <w:p>
      <w:pPr>
        <w:spacing w:line="800" w:lineRule="exact"/>
        <w:ind w:left="480" w:firstLine="1280"/>
        <w:jc w:val="center"/>
        <w:rPr>
          <w:rFonts w:ascii="宋体" w:hAnsi="宋体"/>
          <w:b/>
          <w:sz w:val="32"/>
          <w:szCs w:val="32"/>
        </w:rPr>
      </w:pPr>
    </w:p>
    <w:p>
      <w:pPr>
        <w:spacing w:line="800" w:lineRule="exact"/>
        <w:ind w:left="480" w:firstLine="1285"/>
        <w:jc w:val="center"/>
        <w:rPr>
          <w:b/>
          <w:sz w:val="32"/>
          <w:szCs w:val="32"/>
          <w:cs/>
          <w:lang w:val="mn-MN"/>
        </w:rPr>
      </w:pPr>
    </w:p>
    <w:p>
      <w:pPr>
        <w:spacing w:line="800" w:lineRule="exact"/>
        <w:jc w:val="center"/>
        <w:rPr>
          <w:b/>
          <w:sz w:val="28"/>
          <w:szCs w:val="28"/>
          <w:lang w:val="mn-MN"/>
        </w:rPr>
      </w:pPr>
      <w:r>
        <w:rPr>
          <w:b/>
          <w:sz w:val="28"/>
          <w:szCs w:val="28"/>
          <w:cs/>
          <w:lang w:val="mn-MN"/>
        </w:rPr>
        <w:t>202</w:t>
      </w:r>
      <w:r>
        <w:rPr>
          <w:b/>
          <w:sz w:val="28"/>
          <w:szCs w:val="28"/>
        </w:rPr>
        <w:t xml:space="preserve">5 </w:t>
      </w:r>
      <w:r>
        <w:rPr>
          <w:b/>
          <w:sz w:val="28"/>
          <w:szCs w:val="28"/>
          <w:cs/>
          <w:lang w:val="mn-MN"/>
        </w:rPr>
        <w:t xml:space="preserve">он </w:t>
      </w:r>
      <w:r>
        <w:rPr>
          <w:rFonts w:hint="eastAsia"/>
          <w:b/>
          <w:sz w:val="28"/>
          <w:szCs w:val="28"/>
          <w:cs w:val="0"/>
          <w:lang w:val="en-US" w:eastAsia="zh-CN"/>
        </w:rPr>
        <w:t>12</w:t>
      </w:r>
      <w:r>
        <w:rPr>
          <w:b/>
          <w:sz w:val="28"/>
          <w:szCs w:val="28"/>
        </w:rPr>
        <w:t xml:space="preserve"> </w:t>
      </w:r>
      <w:r>
        <w:rPr>
          <w:b/>
          <w:sz w:val="28"/>
          <w:szCs w:val="28"/>
          <w:cs/>
          <w:lang w:val="mn-MN"/>
        </w:rPr>
        <w:t>сар</w:t>
      </w:r>
    </w:p>
    <w:p>
      <w:pPr>
        <w:spacing w:line="800" w:lineRule="exact"/>
        <w:jc w:val="center"/>
        <w:rPr>
          <w:rFonts w:ascii="宋体" w:hAnsi="宋体"/>
          <w:b/>
          <w:sz w:val="28"/>
          <w:szCs w:val="28"/>
        </w:rPr>
      </w:pPr>
      <w:r>
        <w:rPr>
          <w:rFonts w:hint="eastAsia" w:ascii="宋体" w:hAnsi="宋体"/>
          <w:b/>
          <w:sz w:val="28"/>
          <w:szCs w:val="28"/>
        </w:rPr>
        <w:t>2025年</w:t>
      </w:r>
      <w:r>
        <w:rPr>
          <w:rFonts w:hint="eastAsia" w:ascii="宋体" w:hAnsi="宋体"/>
          <w:b/>
          <w:sz w:val="28"/>
          <w:szCs w:val="28"/>
          <w:lang w:val="en-US" w:eastAsia="zh-CN"/>
        </w:rPr>
        <w:t>12</w:t>
      </w:r>
      <w:r>
        <w:rPr>
          <w:rFonts w:hint="eastAsia" w:ascii="宋体" w:hAnsi="宋体"/>
          <w:b/>
          <w:sz w:val="28"/>
          <w:szCs w:val="28"/>
        </w:rPr>
        <w:t>月</w:t>
      </w:r>
    </w:p>
    <w:p>
      <w:pPr>
        <w:spacing w:line="800" w:lineRule="exact"/>
        <w:ind w:left="480" w:firstLine="1440"/>
        <w:jc w:val="center"/>
        <w:rPr>
          <w:rFonts w:ascii="宋体" w:hAnsi="宋体"/>
          <w:b/>
          <w:sz w:val="36"/>
          <w:szCs w:val="36"/>
        </w:rPr>
        <w:sectPr>
          <w:footerReference r:id="rId5" w:type="first"/>
          <w:headerReference r:id="rId3" w:type="default"/>
          <w:footerReference r:id="rId4" w:type="default"/>
          <w:pgSz w:w="11906" w:h="16838"/>
          <w:pgMar w:top="1418" w:right="1418" w:bottom="1418" w:left="1418" w:header="850" w:footer="850" w:gutter="0"/>
          <w:pgNumType w:start="1"/>
          <w:cols w:space="720" w:num="1"/>
          <w:titlePg/>
          <w:docGrid w:linePitch="312" w:charSpace="0"/>
        </w:sectPr>
      </w:pPr>
    </w:p>
    <w:p>
      <w:pPr>
        <w:spacing w:line="800" w:lineRule="exact"/>
        <w:jc w:val="center"/>
        <w:rPr>
          <w:b/>
          <w:sz w:val="44"/>
          <w:szCs w:val="44"/>
          <w:lang w:val="mn-MN"/>
        </w:rPr>
      </w:pPr>
      <w:r>
        <w:rPr>
          <w:b/>
          <w:sz w:val="44"/>
          <w:szCs w:val="44"/>
          <w:cs/>
          <w:lang w:val="mn-MN"/>
        </w:rPr>
        <w:t>Гарчиг</w:t>
      </w:r>
    </w:p>
    <w:p>
      <w:pPr>
        <w:spacing w:line="800" w:lineRule="exact"/>
        <w:ind w:left="480" w:firstLine="1760"/>
        <w:jc w:val="center"/>
        <w:rPr>
          <w:b/>
          <w:sz w:val="44"/>
          <w:szCs w:val="44"/>
        </w:rPr>
      </w:pPr>
      <w:r>
        <w:rPr>
          <w:rFonts w:hint="eastAsia"/>
          <w:b/>
          <w:sz w:val="44"/>
          <w:szCs w:val="44"/>
        </w:rPr>
        <w:t>目录</w:t>
      </w:r>
    </w:p>
    <w:sdt>
      <w:sdtPr>
        <w:rPr>
          <w:rFonts w:ascii="宋体" w:hAnsi="宋体"/>
        </w:rPr>
        <w:id w:val="147474420"/>
        <w:docPartObj>
          <w:docPartGallery w:val="Table of Contents"/>
          <w:docPartUnique/>
        </w:docPartObj>
      </w:sdtPr>
      <w:sdtEndPr>
        <w:rPr>
          <w:rFonts w:hint="eastAsia" w:ascii="Times New Roman" w:hAnsi="Times New Roman"/>
          <w:szCs w:val="44"/>
        </w:rPr>
      </w:sdtEndPr>
      <w:sdtContent>
        <w:p>
          <w:pPr>
            <w:ind w:left="480" w:firstLine="843"/>
            <w:jc w:val="left"/>
            <w:rPr>
              <w:szCs w:val="21"/>
              <w:lang w:val="mn-MN"/>
            </w:rPr>
          </w:pPr>
          <w:r>
            <w:rPr>
              <w:szCs w:val="21"/>
              <w:cs/>
              <w:lang w:val="mn-MN"/>
            </w:rPr>
            <w:t>Нэг. Тендэрт оролцогчийн мэдвэл зохих зүйл</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rPr>
              <w:rFonts w:ascii="Times New Roman" w:hAnsi="Times New Roman"/>
              <w:kern w:val="2"/>
              <w:sz w:val="21"/>
              <w:szCs w:val="21"/>
            </w:rPr>
            <w:fldChar w:fldCharType="begin"/>
          </w:r>
          <w:r>
            <w:rPr>
              <w:rFonts w:ascii="Times New Roman" w:hAnsi="Times New Roman"/>
              <w:kern w:val="2"/>
              <w:sz w:val="21"/>
              <w:szCs w:val="21"/>
            </w:rPr>
            <w:instrText xml:space="preserve">TOC \o "1-3" \h \u </w:instrText>
          </w:r>
          <w:r>
            <w:rPr>
              <w:rFonts w:ascii="Times New Roman" w:hAnsi="Times New Roman"/>
              <w:kern w:val="2"/>
              <w:sz w:val="21"/>
              <w:szCs w:val="21"/>
            </w:rPr>
            <w:fldChar w:fldCharType="separate"/>
          </w:r>
          <w:r>
            <w:fldChar w:fldCharType="begin"/>
          </w:r>
          <w:r>
            <w:instrText xml:space="preserve"> HYPERLINK \l "_Toc183017237" </w:instrText>
          </w:r>
          <w:r>
            <w:fldChar w:fldCharType="separate"/>
          </w:r>
          <w:r>
            <w:rPr>
              <w:rStyle w:val="143"/>
              <w:rFonts w:ascii="Times New Roman" w:hAnsi="Times New Roman"/>
              <w:sz w:val="21"/>
              <w:szCs w:val="21"/>
            </w:rPr>
            <w:t>一、投标人须知</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_Toc183017237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"_Toc183017238"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Хэрэглэх цар хүрээ </w:t>
          </w:r>
        </w:p>
        <w:p>
          <w:pPr>
            <w:pStyle w:val="75"/>
            <w:tabs>
              <w:tab w:val="right" w:leader="dot" w:pos="9060"/>
            </w:tabs>
            <w:ind w:left="480" w:firstLine="840" w:firstLineChars="400"/>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适用范围</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_Toc183017238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"_Toc183017239"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Байгууллагын бүтэц</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组织机构</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_Toc183017239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"_Toc183017240"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Шаардлага хангасан тендэрт оролцогч</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合格的投标人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_Toc183017240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"_Toc183017241" </w:instrText>
          </w:r>
          <w:r>
            <w:rPr>
              <w:rFonts w:ascii="Times New Roman" w:hAnsi="Times New Roman"/>
              <w:sz w:val="21"/>
              <w:szCs w:val="21"/>
            </w:rPr>
            <w:fldChar w:fldCharType="separate"/>
          </w:r>
          <w:r>
            <w:rPr>
              <w:rStyle w:val="143"/>
              <w:rFonts w:ascii="Times New Roman" w:hAnsi="Times New Roman"/>
              <w:sz w:val="21"/>
              <w:szCs w:val="21"/>
            </w:rPr>
            <w:t>4</w:t>
          </w:r>
          <w:r>
            <w:rPr>
              <w:rStyle w:val="143"/>
              <w:rFonts w:ascii="Times New Roman" w:hAnsi="Times New Roman"/>
              <w:sz w:val="21"/>
              <w:szCs w:val="21"/>
              <w:cs/>
              <w:lang w:val="mn-MN"/>
            </w:rPr>
            <w:t xml:space="preserve">. Тендэрийн бичиг баримт боловсруулах шаардлага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sz w:val="21"/>
              <w:szCs w:val="21"/>
            </w:rPr>
            <w:t>投标文件的制作要求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_Toc183017241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"_Toc183017242"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Бусад зүйл</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其他事项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_Toc183017242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w:t>
          </w:r>
          <w:r>
            <w:rPr>
              <w:rFonts w:hint="eastAsia"/>
              <w:szCs w:val="21"/>
              <w:cs w:val="0"/>
              <w:lang w:val="en-US" w:eastAsia="zh-CN"/>
            </w:rPr>
            <w:t xml:space="preserve">      </w:t>
          </w:r>
          <w:r>
            <w:rPr>
              <w:szCs w:val="21"/>
              <w:cs/>
              <w:lang w:val="mn-MN"/>
            </w:rPr>
            <w:t>Хоёр. Тендэр зарлагчийг техникийн шаардлага</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"_Toc183017243" </w:instrText>
          </w:r>
          <w:r>
            <w:fldChar w:fldCharType="separate"/>
          </w:r>
          <w:r>
            <w:rPr>
              <w:rStyle w:val="143"/>
              <w:rFonts w:ascii="Times New Roman" w:hAnsi="Times New Roman"/>
              <w:b/>
              <w:sz w:val="21"/>
              <w:szCs w:val="21"/>
            </w:rPr>
            <w:t>二、招标技术要求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_Toc183017243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"_Toc183017244"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Төслийн танилцуулга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项目简介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_Toc183017244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"_Toc183017245"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Газарзүйн байрлал болон цаг агаарын танилцуулга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地理位置及气候简介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"_Toc183017246" </w:instrText>
          </w:r>
          <w:r>
            <w:rPr>
              <w:rFonts w:ascii="Times New Roman" w:hAnsi="Times New Roman"/>
              <w:sz w:val="21"/>
              <w:szCs w:val="21"/>
            </w:rPr>
            <w:fldChar w:fldCharType="separate"/>
          </w:r>
          <w:r>
            <w:rPr>
              <w:rStyle w:val="143"/>
              <w:rFonts w:ascii="Times New Roman" w:hAnsi="Times New Roman"/>
              <w:bCs/>
              <w:sz w:val="21"/>
              <w:szCs w:val="21"/>
            </w:rPr>
            <w:t xml:space="preserve">3. </w:t>
          </w:r>
          <w:r>
            <w:rPr>
              <w:rStyle w:val="143"/>
              <w:rFonts w:ascii="Times New Roman" w:hAnsi="Times New Roman"/>
              <w:bCs/>
              <w:sz w:val="21"/>
              <w:szCs w:val="21"/>
              <w:cs/>
            </w:rPr>
            <w:t>Тээвэрлэлтийн шаардлага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运输需求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_Toc183017246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"_Toc183017247"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Техникийн стандарт</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技术标准</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_Toc183017247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w:t>
          </w:r>
          <w:r>
            <w:rPr>
              <w:rFonts w:hint="eastAsia"/>
              <w:szCs w:val="21"/>
              <w:cs w:val="0"/>
              <w:lang w:val="en-US" w:eastAsia="zh-CN"/>
            </w:rPr>
            <w:t xml:space="preserve">      </w:t>
          </w:r>
          <w:r>
            <w:rPr>
              <w:szCs w:val="21"/>
              <w:cs/>
              <w:lang w:val="mn-MN"/>
            </w:rPr>
            <w:t xml:space="preserve"> Гурав. Тендэрийн бичиг баримт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"_Toc183017248" </w:instrText>
          </w:r>
          <w:r>
            <w:fldChar w:fldCharType="separate"/>
          </w:r>
          <w:r>
            <w:rPr>
              <w:rStyle w:val="143"/>
              <w:rFonts w:ascii="Times New Roman" w:hAnsi="Times New Roman"/>
              <w:b/>
              <w:sz w:val="21"/>
              <w:szCs w:val="21"/>
            </w:rPr>
            <w:t>三、招标文件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_Toc183017248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"_Toc183017249"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Тендэрийн бичиг баримтын бүрэлдэхүүн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招标文件的组成</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"_Toc183017250"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бичиг баримтыг тодруулах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招标文件的澄清</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_Toc183017250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"_Toc183017251"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баримтын нэмэлт өөрчлөлт</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招标文件的补充和修改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_Toc183017251 \h </w:instrText>
          </w:r>
          <w:r>
            <w:rPr>
              <w:rFonts w:ascii="Times New Roman" w:hAnsi="Times New Roman"/>
              <w:sz w:val="21"/>
              <w:szCs w:val="21"/>
            </w:rPr>
            <w:fldChar w:fldCharType="separate"/>
          </w:r>
          <w:r>
            <w:rPr>
              <w:rFonts w:ascii="Times New Roman" w:hAnsi="Times New Roman"/>
              <w:sz w:val="21"/>
              <w:szCs w:val="21"/>
            </w:rPr>
            <w:t>8</w:t>
          </w:r>
          <w:r>
            <w:rPr>
              <w:rFonts w:ascii="Times New Roman" w:hAnsi="Times New Roman"/>
              <w:sz w:val="21"/>
              <w:szCs w:val="21"/>
            </w:rPr>
            <w:fldChar w:fldCharType="end"/>
          </w:r>
          <w:r>
            <w:rPr>
              <w:rFonts w:ascii="Times New Roman" w:hAnsi="Times New Roman"/>
              <w:sz w:val="21"/>
              <w:szCs w:val="21"/>
            </w:rPr>
            <w:fldChar w:fldCharType="end"/>
          </w:r>
        </w:p>
        <w:p>
          <w:pPr>
            <w:pStyle w:val="60"/>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Дөрөв. Тендэрийн бичиг баримт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"_Toc183017252" </w:instrText>
          </w:r>
          <w:r>
            <w:fldChar w:fldCharType="separate"/>
          </w:r>
          <w:r>
            <w:rPr>
              <w:rStyle w:val="143"/>
              <w:rFonts w:ascii="Times New Roman" w:hAnsi="Times New Roman"/>
              <w:b/>
              <w:sz w:val="21"/>
              <w:szCs w:val="21"/>
            </w:rPr>
            <w:t>四、投标文件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_Toc183017252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"_Toc183017253"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Тендэрийн бичиг баримт боловсруулах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投标文件的编写</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_Toc183017253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"_Toc183017254"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бичиг баримтын хэл болон хэмжих нэгж</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投标文件的语言及计量单位</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_Toc183017254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"_Toc183017255"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баримтын бүрэлдэхүүн</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投标文件的组成</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_Toc183017255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"_Toc183017256" </w:instrText>
          </w:r>
          <w:r>
            <w:rPr>
              <w:rFonts w:ascii="Times New Roman" w:hAnsi="Times New Roman"/>
              <w:sz w:val="21"/>
              <w:szCs w:val="21"/>
            </w:rPr>
            <w:fldChar w:fldCharType="separate"/>
          </w:r>
          <w:r>
            <w:rPr>
              <w:rStyle w:val="143"/>
              <w:rFonts w:ascii="Times New Roman" w:hAnsi="Times New Roman"/>
              <w:bCs/>
              <w:sz w:val="21"/>
              <w:szCs w:val="21"/>
            </w:rPr>
            <w:t>4</w:t>
          </w:r>
          <w:r>
            <w:rPr>
              <w:rStyle w:val="143"/>
              <w:rFonts w:ascii="Times New Roman" w:hAnsi="Times New Roman"/>
              <w:bCs/>
              <w:sz w:val="21"/>
              <w:szCs w:val="21"/>
              <w:cs/>
              <w:lang w:val="mn-MN"/>
            </w:rPr>
            <w:t>. Тендэрийн хүчинтэй хугацаа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投标有效期</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_Toc183017256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"_Toc183017257"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Тендэрийн бичиг баримт хүлээлгэн өгөх хугацаа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递交投标文件的截止时间</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_Toc183017257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"_Toc183017258" </w:instrText>
          </w:r>
          <w:r>
            <w:rPr>
              <w:rFonts w:ascii="Times New Roman" w:hAnsi="Times New Roman"/>
              <w:sz w:val="21"/>
              <w:szCs w:val="21"/>
            </w:rPr>
            <w:fldChar w:fldCharType="separate"/>
          </w:r>
          <w:r>
            <w:rPr>
              <w:rStyle w:val="143"/>
              <w:rFonts w:ascii="Times New Roman" w:hAnsi="Times New Roman"/>
              <w:bCs/>
              <w:sz w:val="21"/>
              <w:szCs w:val="21"/>
            </w:rPr>
            <w:t>6</w:t>
          </w:r>
          <w:r>
            <w:rPr>
              <w:rStyle w:val="143"/>
              <w:rFonts w:ascii="Times New Roman" w:hAnsi="Times New Roman"/>
              <w:bCs/>
              <w:sz w:val="21"/>
              <w:szCs w:val="21"/>
              <w:cs/>
              <w:lang w:val="mn-MN"/>
            </w:rPr>
            <w:t>. Тендэрийн бичиг баримт хоцорч өгөх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迟交的投标文件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_Toc183017258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"_Toc183017259" </w:instrText>
          </w:r>
          <w:r>
            <w:rPr>
              <w:rFonts w:ascii="Times New Roman" w:hAnsi="Times New Roman"/>
              <w:sz w:val="21"/>
              <w:szCs w:val="21"/>
            </w:rPr>
            <w:fldChar w:fldCharType="separate"/>
          </w:r>
          <w:r>
            <w:rPr>
              <w:rStyle w:val="143"/>
              <w:rFonts w:ascii="Times New Roman" w:hAnsi="Times New Roman"/>
              <w:bCs/>
              <w:sz w:val="21"/>
              <w:szCs w:val="21"/>
            </w:rPr>
            <w:t>7</w:t>
          </w:r>
          <w:r>
            <w:rPr>
              <w:rStyle w:val="143"/>
              <w:rFonts w:ascii="Times New Roman" w:hAnsi="Times New Roman"/>
              <w:bCs/>
              <w:sz w:val="21"/>
              <w:szCs w:val="21"/>
              <w:cs/>
              <w:lang w:val="mn-MN"/>
            </w:rPr>
            <w:t>. Тендэрийн бичиг баримт өөрчлөх болон цуцлах</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投标文件的修改和撤销</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_Toc183017259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w:t>
          </w:r>
          <w:r>
            <w:rPr>
              <w:rFonts w:hint="eastAsia"/>
              <w:szCs w:val="21"/>
              <w:cs w:val="0"/>
              <w:lang w:val="en-US" w:eastAsia="zh-CN"/>
            </w:rPr>
            <w:t xml:space="preserve">      </w:t>
          </w:r>
          <w:r>
            <w:rPr>
              <w:szCs w:val="21"/>
              <w:cs/>
              <w:lang w:val="mn-MN"/>
            </w:rPr>
            <w:t xml:space="preserve">Тав. Тендэр нээх болон үнэлгээ хийх </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"_Toc183017260" </w:instrText>
          </w:r>
          <w:r>
            <w:fldChar w:fldCharType="separate"/>
          </w:r>
          <w:r>
            <w:rPr>
              <w:rStyle w:val="143"/>
              <w:rFonts w:ascii="Times New Roman" w:hAnsi="Times New Roman"/>
              <w:b/>
              <w:sz w:val="21"/>
              <w:szCs w:val="21"/>
            </w:rPr>
            <w:t>五、开标及评标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_Toc183017260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"_Toc183017261"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Тендэр нээх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开标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_Toc183017261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"_Toc183017262"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үнэлгээ хийх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评标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_Toc183017262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"_Toc183017263"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баримтыг шалгах болон хариу гаргасан байдлыг баталгаажуулах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对投标文件的审查和响应性的确定</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_Toc183017263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"_Toc183017264" </w:instrText>
          </w:r>
          <w:r>
            <w:rPr>
              <w:rFonts w:ascii="Times New Roman" w:hAnsi="Times New Roman"/>
              <w:sz w:val="21"/>
              <w:szCs w:val="21"/>
            </w:rPr>
            <w:fldChar w:fldCharType="separate"/>
          </w:r>
          <w:r>
            <w:rPr>
              <w:rStyle w:val="143"/>
              <w:rFonts w:ascii="Times New Roman" w:hAnsi="Times New Roman"/>
              <w:bCs/>
              <w:sz w:val="21"/>
              <w:szCs w:val="21"/>
            </w:rPr>
            <w:t>4</w:t>
          </w:r>
          <w:r>
            <w:rPr>
              <w:rStyle w:val="143"/>
              <w:rFonts w:ascii="Times New Roman" w:hAnsi="Times New Roman"/>
              <w:bCs/>
              <w:sz w:val="21"/>
              <w:szCs w:val="21"/>
              <w:cs/>
              <w:lang w:val="mn-MN"/>
            </w:rPr>
            <w:t>. Тендэрийн бичиг баримтын үнэлгээ</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对投标文件的评估</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_Toc183017264 \h </w:instrText>
          </w:r>
          <w:r>
            <w:rPr>
              <w:rFonts w:ascii="Times New Roman" w:hAnsi="Times New Roman"/>
              <w:sz w:val="21"/>
              <w:szCs w:val="21"/>
            </w:rPr>
            <w:fldChar w:fldCharType="separate"/>
          </w:r>
          <w:r>
            <w:rPr>
              <w:rFonts w:ascii="Times New Roman" w:hAnsi="Times New Roman"/>
              <w:sz w:val="21"/>
              <w:szCs w:val="21"/>
            </w:rPr>
            <w:t>11</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"_Toc183017265"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Нэгтгэн үнэлэх арга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综合评分法</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_Toc183017265 \h </w:instrText>
          </w:r>
          <w:r>
            <w:rPr>
              <w:rFonts w:ascii="Times New Roman" w:hAnsi="Times New Roman"/>
              <w:sz w:val="21"/>
              <w:szCs w:val="21"/>
            </w:rPr>
            <w:fldChar w:fldCharType="separate"/>
          </w:r>
          <w:r>
            <w:rPr>
              <w:rFonts w:ascii="Times New Roman" w:hAnsi="Times New Roman"/>
              <w:sz w:val="21"/>
              <w:szCs w:val="21"/>
            </w:rPr>
            <w:t>11</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"_Toc183017266" </w:instrText>
          </w:r>
          <w:r>
            <w:rPr>
              <w:rFonts w:ascii="Times New Roman" w:hAnsi="Times New Roman"/>
              <w:sz w:val="21"/>
              <w:szCs w:val="21"/>
            </w:rPr>
            <w:fldChar w:fldCharType="separate"/>
          </w:r>
          <w:r>
            <w:rPr>
              <w:rStyle w:val="143"/>
              <w:rFonts w:ascii="Times New Roman" w:hAnsi="Times New Roman"/>
              <w:bCs/>
              <w:sz w:val="21"/>
              <w:szCs w:val="21"/>
            </w:rPr>
            <w:t>6</w:t>
          </w:r>
          <w:r>
            <w:rPr>
              <w:rStyle w:val="143"/>
              <w:rFonts w:ascii="Times New Roman" w:hAnsi="Times New Roman"/>
              <w:bCs/>
              <w:sz w:val="21"/>
              <w:szCs w:val="21"/>
              <w:cs/>
              <w:lang w:val="mn-MN"/>
            </w:rPr>
            <w:t>. Тендэрийн бичиг баримтыг тодруулах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投标文件的澄清</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_Toc183017266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"_Toc183017267" </w:instrText>
          </w:r>
          <w:r>
            <w:rPr>
              <w:rFonts w:ascii="Times New Roman" w:hAnsi="Times New Roman"/>
              <w:sz w:val="21"/>
              <w:szCs w:val="21"/>
            </w:rPr>
            <w:fldChar w:fldCharType="separate"/>
          </w:r>
          <w:r>
            <w:rPr>
              <w:rStyle w:val="143"/>
              <w:rFonts w:ascii="Times New Roman" w:hAnsi="Times New Roman"/>
              <w:bCs/>
              <w:sz w:val="21"/>
              <w:szCs w:val="21"/>
            </w:rPr>
            <w:t>7</w:t>
          </w:r>
          <w:r>
            <w:rPr>
              <w:rStyle w:val="143"/>
              <w:rFonts w:ascii="Times New Roman" w:hAnsi="Times New Roman"/>
              <w:bCs/>
              <w:sz w:val="21"/>
              <w:szCs w:val="21"/>
              <w:cs/>
              <w:lang w:val="mn-MN"/>
            </w:rPr>
            <w:t>. Нууцлал</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保密</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_Toc183017267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"_Toc183017268" </w:instrText>
          </w:r>
          <w:r>
            <w:rPr>
              <w:rFonts w:ascii="Times New Roman" w:hAnsi="Times New Roman"/>
              <w:sz w:val="21"/>
              <w:szCs w:val="21"/>
            </w:rPr>
            <w:fldChar w:fldCharType="separate"/>
          </w:r>
          <w:r>
            <w:rPr>
              <w:rStyle w:val="143"/>
              <w:rFonts w:ascii="Times New Roman" w:hAnsi="Times New Roman"/>
              <w:bCs/>
              <w:sz w:val="21"/>
              <w:szCs w:val="21"/>
            </w:rPr>
            <w:t>8</w:t>
          </w:r>
          <w:r>
            <w:rPr>
              <w:rStyle w:val="143"/>
              <w:rFonts w:ascii="Times New Roman" w:hAnsi="Times New Roman"/>
              <w:bCs/>
              <w:sz w:val="21"/>
              <w:szCs w:val="21"/>
              <w:cs/>
              <w:lang w:val="mn-MN"/>
            </w:rPr>
            <w:t xml:space="preserve">. Шаардлага хангасан эсэх хяналт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资格审查</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_Toc183017268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"_Toc183017269" </w:instrText>
          </w:r>
          <w:r>
            <w:rPr>
              <w:rFonts w:ascii="Times New Roman" w:hAnsi="Times New Roman"/>
              <w:sz w:val="21"/>
              <w:szCs w:val="21"/>
            </w:rPr>
            <w:fldChar w:fldCharType="separate"/>
          </w:r>
          <w:r>
            <w:rPr>
              <w:rStyle w:val="143"/>
              <w:rFonts w:ascii="Times New Roman" w:hAnsi="Times New Roman"/>
              <w:bCs/>
              <w:sz w:val="21"/>
              <w:szCs w:val="21"/>
            </w:rPr>
            <w:t>9</w:t>
          </w:r>
          <w:r>
            <w:rPr>
              <w:rStyle w:val="143"/>
              <w:rFonts w:ascii="Times New Roman" w:hAnsi="Times New Roman"/>
              <w:bCs/>
              <w:sz w:val="21"/>
              <w:szCs w:val="21"/>
              <w:cs/>
              <w:lang w:val="mn-MN"/>
            </w:rPr>
            <w:t>.  Гэрээ байгуулах эрх олгох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授予合同</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_Toc183017269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"_Toc183017270" </w:instrText>
          </w:r>
          <w:r>
            <w:rPr>
              <w:rFonts w:ascii="Times New Roman" w:hAnsi="Times New Roman"/>
              <w:sz w:val="21"/>
              <w:szCs w:val="21"/>
            </w:rPr>
            <w:fldChar w:fldCharType="separate"/>
          </w:r>
          <w:r>
            <w:rPr>
              <w:rStyle w:val="143"/>
              <w:rFonts w:ascii="Times New Roman" w:hAnsi="Times New Roman"/>
              <w:bCs/>
              <w:sz w:val="21"/>
              <w:szCs w:val="21"/>
            </w:rPr>
            <w:t>10</w:t>
          </w:r>
          <w:r>
            <w:rPr>
              <w:rStyle w:val="143"/>
              <w:rFonts w:ascii="Times New Roman" w:hAnsi="Times New Roman"/>
              <w:bCs/>
              <w:sz w:val="21"/>
              <w:szCs w:val="21"/>
              <w:cs/>
              <w:lang w:val="mn-MN"/>
            </w:rPr>
            <w:t>. Тендэр зарлагч нь ямар нэгэн тендэр эсвэл бүх тендэрийг хүлээн авах, татгалзах эрхтэй</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招标人有接受或拒绝任何投标或所有投标的权利</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_Toc183017270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"_Toc183017271" </w:instrText>
          </w:r>
          <w:r>
            <w:rPr>
              <w:rFonts w:ascii="Times New Roman" w:hAnsi="Times New Roman"/>
              <w:sz w:val="21"/>
              <w:szCs w:val="21"/>
            </w:rPr>
            <w:fldChar w:fldCharType="separate"/>
          </w:r>
          <w:r>
            <w:rPr>
              <w:rStyle w:val="143"/>
              <w:rFonts w:ascii="Times New Roman" w:hAnsi="Times New Roman"/>
              <w:bCs/>
              <w:sz w:val="21"/>
              <w:szCs w:val="21"/>
            </w:rPr>
            <w:t>11</w:t>
          </w:r>
          <w:r>
            <w:rPr>
              <w:rStyle w:val="143"/>
              <w:rFonts w:ascii="Times New Roman" w:hAnsi="Times New Roman"/>
              <w:bCs/>
              <w:sz w:val="21"/>
              <w:szCs w:val="21"/>
              <w:cs/>
              <w:lang w:val="mn-MN"/>
            </w:rPr>
            <w:t>. Тендэрт ялсан мэдэгдэл</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中标通知书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_Toc183017271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"_Toc183017272" </w:instrText>
          </w:r>
          <w:r>
            <w:rPr>
              <w:rFonts w:ascii="Times New Roman" w:hAnsi="Times New Roman"/>
              <w:sz w:val="21"/>
              <w:szCs w:val="21"/>
            </w:rPr>
            <w:fldChar w:fldCharType="separate"/>
          </w:r>
          <w:r>
            <w:rPr>
              <w:rStyle w:val="143"/>
              <w:rFonts w:ascii="Times New Roman" w:hAnsi="Times New Roman"/>
              <w:bCs/>
              <w:sz w:val="21"/>
              <w:szCs w:val="21"/>
            </w:rPr>
            <w:t>12</w:t>
          </w:r>
          <w:r>
            <w:rPr>
              <w:rStyle w:val="143"/>
              <w:rFonts w:ascii="Times New Roman" w:hAnsi="Times New Roman"/>
              <w:bCs/>
              <w:sz w:val="21"/>
              <w:szCs w:val="21"/>
              <w:cs/>
              <w:lang w:val="mn-MN"/>
            </w:rPr>
            <w:t>. Гэрээ байгуулах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签订合同</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_Toc183017272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60"/>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Зургаа. Хавсралт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"_Toc183017273" </w:instrText>
          </w:r>
          <w:r>
            <w:fldChar w:fldCharType="separate"/>
          </w:r>
          <w:r>
            <w:rPr>
              <w:rStyle w:val="143"/>
              <w:rFonts w:ascii="Times New Roman" w:hAnsi="Times New Roman"/>
              <w:b/>
              <w:sz w:val="21"/>
              <w:szCs w:val="21"/>
            </w:rPr>
            <w:t>六、附件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_Toc183017273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 </w:t>
          </w:r>
          <w:r>
            <w:rPr>
              <w:rStyle w:val="143"/>
              <w:rFonts w:ascii="Times New Roman" w:hAnsi="Times New Roman"/>
              <w:bCs/>
              <w:sz w:val="21"/>
              <w:szCs w:val="21"/>
              <w:cs/>
              <w:lang w:val="mn-MN"/>
            </w:rPr>
            <w:t xml:space="preserve">Тендэрийн бичиг баримтын хэлбэр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"_Toc183017274" </w:instrText>
          </w:r>
          <w:r>
            <w:fldChar w:fldCharType="separate"/>
          </w:r>
          <w:r>
            <w:rPr>
              <w:rStyle w:val="143"/>
              <w:rFonts w:ascii="Times New Roman" w:hAnsi="Times New Roman"/>
              <w:sz w:val="21"/>
              <w:szCs w:val="21"/>
            </w:rPr>
            <w:t>附件1投标文件格式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_Toc183017274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Хавсралт1-1 </w:t>
          </w:r>
          <w:r>
            <w:rPr>
              <w:rStyle w:val="143"/>
              <w:rFonts w:ascii="Times New Roman" w:hAnsi="Times New Roman"/>
              <w:bCs/>
              <w:sz w:val="21"/>
              <w:szCs w:val="21"/>
              <w:cs/>
              <w:lang w:val="mn-MN"/>
            </w:rPr>
            <w:t>Тендэрийн бичиг баримтын нүүр</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"_Toc183017275" </w:instrText>
          </w:r>
          <w:r>
            <w:fldChar w:fldCharType="separate"/>
          </w:r>
          <w:r>
            <w:rPr>
              <w:rStyle w:val="143"/>
              <w:rFonts w:ascii="Times New Roman" w:hAnsi="Times New Roman"/>
              <w:sz w:val="21"/>
              <w:szCs w:val="21"/>
            </w:rPr>
            <w:t>附件1-1 投标文件封面</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_Toc183017275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Хавсралт1-2 Тендэрт оролцох бичиг </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"_Toc183017276" </w:instrText>
          </w:r>
          <w:r>
            <w:fldChar w:fldCharType="separate"/>
          </w:r>
          <w:r>
            <w:rPr>
              <w:rStyle w:val="143"/>
              <w:rFonts w:ascii="Times New Roman" w:hAnsi="Times New Roman"/>
              <w:sz w:val="21"/>
              <w:szCs w:val="21"/>
            </w:rPr>
            <w:t>附件1-2 投标书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_Toc183017276 \h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Хавсралт1-3 Хуулийн төлөөлөгч, итгэмжилсэн бичиг</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"_Toc183017277" </w:instrText>
          </w:r>
          <w:r>
            <w:fldChar w:fldCharType="separate"/>
          </w:r>
          <w:r>
            <w:rPr>
              <w:rStyle w:val="143"/>
              <w:rFonts w:ascii="Times New Roman" w:hAnsi="Times New Roman"/>
              <w:sz w:val="21"/>
              <w:szCs w:val="21"/>
            </w:rPr>
            <w:t>附件1-3法定代表人授权书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_Toc183017277 \h </w:instrText>
          </w:r>
          <w:r>
            <w:rPr>
              <w:rFonts w:ascii="Times New Roman" w:hAnsi="Times New Roman"/>
              <w:sz w:val="21"/>
              <w:szCs w:val="21"/>
            </w:rPr>
            <w:fldChar w:fldCharType="separate"/>
          </w:r>
          <w:r>
            <w:rPr>
              <w:rFonts w:ascii="Times New Roman" w:hAnsi="Times New Roman"/>
              <w:sz w:val="21"/>
              <w:szCs w:val="21"/>
            </w:rPr>
            <w:t>17</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Хавсралт1-4 Тендэрийн үнийн саналын хүснэгт </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"_Toc183017278" </w:instrText>
          </w:r>
          <w:r>
            <w:fldChar w:fldCharType="separate"/>
          </w:r>
          <w:r>
            <w:rPr>
              <w:rStyle w:val="143"/>
              <w:rFonts w:ascii="Times New Roman" w:hAnsi="Times New Roman"/>
              <w:sz w:val="21"/>
              <w:szCs w:val="21"/>
            </w:rPr>
            <w:t>附件1-4 开标一览表</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_Toc183017278 \h </w:instrText>
          </w:r>
          <w:r>
            <w:rPr>
              <w:rFonts w:ascii="Times New Roman" w:hAnsi="Times New Roman"/>
              <w:sz w:val="21"/>
              <w:szCs w:val="21"/>
            </w:rPr>
            <w:fldChar w:fldCharType="separate"/>
          </w:r>
          <w:r>
            <w:rPr>
              <w:rFonts w:ascii="Times New Roman" w:hAnsi="Times New Roman"/>
              <w:sz w:val="21"/>
              <w:szCs w:val="21"/>
            </w:rPr>
            <w:t>18</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Хавсралт1-5 Техникийн стандарт болон үзүүлэлт</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"_Toc183017279" </w:instrText>
          </w:r>
          <w:r>
            <w:fldChar w:fldCharType="separate"/>
          </w:r>
          <w:r>
            <w:rPr>
              <w:rStyle w:val="143"/>
              <w:rFonts w:ascii="Times New Roman" w:hAnsi="Times New Roman"/>
              <w:sz w:val="21"/>
              <w:szCs w:val="21"/>
            </w:rPr>
            <w:t>附件1-5 技术规格及参数</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_Toc183017279 \h </w:instrText>
          </w:r>
          <w:r>
            <w:rPr>
              <w:rFonts w:ascii="Times New Roman" w:hAnsi="Times New Roman"/>
              <w:sz w:val="21"/>
              <w:szCs w:val="21"/>
            </w:rPr>
            <w:fldChar w:fldCharType="separate"/>
          </w:r>
          <w:r>
            <w:rPr>
              <w:rFonts w:ascii="Times New Roman" w:hAnsi="Times New Roman"/>
              <w:sz w:val="21"/>
              <w:szCs w:val="21"/>
            </w:rPr>
            <w:t>19</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Хавсралт1-6 Байгууллагын мэргэшсэн байдал болон нотлох бичиг баримт</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"_Toc183017280" </w:instrText>
          </w:r>
          <w:r>
            <w:fldChar w:fldCharType="separate"/>
          </w:r>
          <w:r>
            <w:rPr>
              <w:rStyle w:val="143"/>
              <w:rFonts w:ascii="Times New Roman" w:hAnsi="Times New Roman"/>
              <w:sz w:val="21"/>
              <w:szCs w:val="21"/>
            </w:rPr>
            <w:t>附件1-6企业资质和证明文件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_Toc183017280 \h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Хавсралт2 Гэрээний загвар</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"_Toc183017283" </w:instrText>
          </w:r>
          <w:r>
            <w:fldChar w:fldCharType="separate"/>
          </w:r>
          <w:r>
            <w:rPr>
              <w:rStyle w:val="143"/>
              <w:rFonts w:ascii="Times New Roman" w:hAnsi="Times New Roman"/>
              <w:sz w:val="21"/>
              <w:szCs w:val="21"/>
            </w:rPr>
            <w:t>附件2 合同模板</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_Toc183017283 \h </w:instrText>
          </w:r>
          <w:r>
            <w:rPr>
              <w:rFonts w:ascii="Times New Roman" w:hAnsi="Times New Roman"/>
              <w:sz w:val="21"/>
              <w:szCs w:val="21"/>
            </w:rPr>
            <w:fldChar w:fldCharType="separate"/>
          </w:r>
          <w:r>
            <w:rPr>
              <w:rFonts w:ascii="Times New Roman" w:hAnsi="Times New Roman"/>
              <w:sz w:val="21"/>
              <w:szCs w:val="21"/>
            </w:rPr>
            <w:t>25</w:t>
          </w:r>
          <w:r>
            <w:rPr>
              <w:rFonts w:ascii="Times New Roman" w:hAnsi="Times New Roman"/>
              <w:sz w:val="21"/>
              <w:szCs w:val="21"/>
            </w:rPr>
            <w:fldChar w:fldCharType="end"/>
          </w:r>
          <w:r>
            <w:rPr>
              <w:rFonts w:ascii="Times New Roman" w:hAnsi="Times New Roman"/>
              <w:sz w:val="21"/>
              <w:szCs w:val="21"/>
            </w:rPr>
            <w:fldChar w:fldCharType="end"/>
          </w:r>
        </w:p>
        <w:p>
          <w:pPr>
            <w:spacing w:line="800" w:lineRule="exact"/>
            <w:ind w:left="480" w:firstLine="843"/>
            <w:jc w:val="center"/>
            <w:rPr>
              <w:rFonts w:ascii="宋体" w:hAnsi="宋体"/>
              <w:b/>
              <w:szCs w:val="28"/>
            </w:rPr>
            <w:sectPr>
              <w:footerReference r:id="rId6" w:type="first"/>
              <w:pgSz w:w="11906" w:h="16838"/>
              <w:pgMar w:top="1418" w:right="1418" w:bottom="1418" w:left="1418" w:header="850" w:footer="850" w:gutter="0"/>
              <w:cols w:space="720" w:num="1"/>
              <w:titlePg/>
              <w:docGrid w:linePitch="312" w:charSpace="0"/>
            </w:sectPr>
          </w:pPr>
          <w:r>
            <w:rPr>
              <w:szCs w:val="21"/>
            </w:rPr>
            <w:fldChar w:fldCharType="end"/>
          </w:r>
        </w:p>
      </w:sdtContent>
    </w:sdt>
    <w:p>
      <w:pPr>
        <w:ind w:left="480" w:firstLine="2160" w:firstLineChars="900"/>
        <w:jc w:val="left"/>
        <w:rPr>
          <w:rFonts w:ascii="宋体" w:hAnsi="宋体"/>
          <w:b/>
          <w:sz w:val="40"/>
          <w:szCs w:val="40"/>
        </w:rPr>
      </w:pPr>
      <w:bookmarkStart w:id="1" w:name="_Toc27573"/>
      <w:bookmarkStart w:id="2" w:name="_Toc461108832"/>
      <w:bookmarkStart w:id="3" w:name="_Toc183017237"/>
      <w:r>
        <w:rPr>
          <w:rFonts w:ascii="宋体" w:hAnsi="宋体"/>
          <w:sz w:val="24"/>
          <w:szCs w:val="32"/>
          <w:cs/>
          <w:lang w:val="mn-MN"/>
        </w:rPr>
        <w:t>Нэг. Тендэрт оролцогчийн мэдвэл зохих зүйл</w:t>
      </w:r>
    </w:p>
    <w:p>
      <w:pPr>
        <w:pStyle w:val="3"/>
        <w:spacing w:line="360" w:lineRule="auto"/>
        <w:ind w:left="0" w:leftChars="0" w:firstLine="0" w:firstLineChars="0"/>
        <w:jc w:val="center"/>
        <w:rPr>
          <w:rFonts w:ascii="宋体" w:hAnsi="宋体" w:eastAsia="宋体"/>
          <w:b/>
          <w:sz w:val="32"/>
          <w:szCs w:val="32"/>
        </w:rPr>
      </w:pPr>
      <w:r>
        <w:rPr>
          <w:rFonts w:hint="eastAsia" w:ascii="宋体" w:hAnsi="宋体" w:eastAsia="宋体"/>
          <w:b/>
          <w:sz w:val="32"/>
          <w:szCs w:val="32"/>
        </w:rPr>
        <w:t>一、投标人须知</w:t>
      </w:r>
      <w:bookmarkEnd w:id="1"/>
      <w:bookmarkEnd w:id="2"/>
      <w:bookmarkEnd w:id="3"/>
    </w:p>
    <w:p>
      <w:pPr>
        <w:spacing w:line="360" w:lineRule="auto"/>
        <w:jc w:val="center"/>
        <w:rPr>
          <w:rFonts w:ascii="宋体" w:hAnsi="宋体"/>
          <w:b/>
          <w:sz w:val="24"/>
        </w:rPr>
      </w:pPr>
      <w:r>
        <w:rPr>
          <w:rFonts w:hint="eastAsia" w:ascii="宋体" w:hAnsi="宋体"/>
          <w:b/>
          <w:sz w:val="24"/>
        </w:rPr>
        <w:t>投标人须知前附表</w:t>
      </w:r>
    </w:p>
    <w:tbl>
      <w:tblPr>
        <w:tblStyle w:val="88"/>
        <w:tblW w:w="9878" w:type="dxa"/>
        <w:jc w:val="center"/>
        <w:tblLayout w:type="fixed"/>
        <w:tblCellMar>
          <w:top w:w="0" w:type="dxa"/>
          <w:left w:w="108" w:type="dxa"/>
          <w:bottom w:w="0" w:type="dxa"/>
          <w:right w:w="108" w:type="dxa"/>
        </w:tblCellMar>
      </w:tblPr>
      <w:tblGrid>
        <w:gridCol w:w="1192"/>
        <w:gridCol w:w="2289"/>
        <w:gridCol w:w="6397"/>
      </w:tblGrid>
      <w:tr>
        <w:tblPrEx>
          <w:tblCellMar>
            <w:top w:w="0" w:type="dxa"/>
            <w:left w:w="108" w:type="dxa"/>
            <w:bottom w:w="0" w:type="dxa"/>
            <w:right w:w="108" w:type="dxa"/>
          </w:tblCellMar>
        </w:tblPrEx>
        <w:trPr>
          <w:trHeight w:val="285"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jc w:val="center"/>
              <w:rPr>
                <w:rFonts w:hint="default"/>
                <w:b/>
                <w:kern w:val="0"/>
                <w:szCs w:val="21"/>
              </w:rPr>
            </w:pPr>
            <w:r>
              <w:rPr>
                <w:rFonts w:hint="default"/>
                <w:b/>
                <w:kern w:val="0"/>
                <w:szCs w:val="21"/>
              </w:rPr>
              <w:t>序号</w:t>
            </w:r>
          </w:p>
        </w:tc>
        <w:tc>
          <w:tcPr>
            <w:tcW w:w="22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
                <w:kern w:val="0"/>
                <w:szCs w:val="21"/>
              </w:rPr>
            </w:pPr>
            <w:r>
              <w:rPr>
                <w:rFonts w:hint="default"/>
                <w:b/>
                <w:kern w:val="0"/>
                <w:szCs w:val="21"/>
                <w:cs/>
                <w:lang w:val="mn-MN"/>
              </w:rPr>
              <w:t xml:space="preserve">Зүйл заалтын агуулга            </w:t>
            </w:r>
            <w:r>
              <w:rPr>
                <w:rFonts w:hint="eastAsia"/>
                <w:b/>
                <w:kern w:val="0"/>
                <w:szCs w:val="21"/>
              </w:rPr>
              <w:t xml:space="preserve">     </w:t>
            </w:r>
            <w:r>
              <w:rPr>
                <w:rFonts w:hint="default"/>
                <w:b/>
                <w:kern w:val="0"/>
                <w:szCs w:val="21"/>
                <w:cs/>
                <w:lang w:val="mn-MN"/>
              </w:rPr>
              <w:t xml:space="preserve"> </w:t>
            </w:r>
            <w:r>
              <w:rPr>
                <w:rFonts w:hint="default"/>
                <w:b/>
                <w:kern w:val="0"/>
                <w:szCs w:val="21"/>
              </w:rPr>
              <w:t>条款内容</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
                <w:kern w:val="0"/>
                <w:szCs w:val="21"/>
                <w:cs/>
                <w:lang w:val="mn-MN"/>
              </w:rPr>
            </w:pPr>
            <w:r>
              <w:rPr>
                <w:rFonts w:hint="default"/>
                <w:b/>
                <w:kern w:val="0"/>
                <w:szCs w:val="21"/>
                <w:cs/>
                <w:lang w:val="mn-MN"/>
              </w:rPr>
              <w:t>Агуулга</w:t>
            </w:r>
          </w:p>
          <w:p>
            <w:pPr>
              <w:keepNext w:val="0"/>
              <w:keepLines w:val="0"/>
              <w:widowControl/>
              <w:suppressLineNumbers w:val="0"/>
              <w:spacing w:before="0" w:beforeAutospacing="0" w:after="0" w:afterAutospacing="0"/>
              <w:ind w:left="0" w:right="0" w:firstLine="840"/>
              <w:jc w:val="center"/>
              <w:rPr>
                <w:rFonts w:hint="default"/>
                <w:b/>
                <w:kern w:val="0"/>
                <w:szCs w:val="21"/>
              </w:rPr>
            </w:pPr>
            <w:r>
              <w:rPr>
                <w:rFonts w:hint="default"/>
                <w:b/>
                <w:kern w:val="0"/>
                <w:szCs w:val="21"/>
              </w:rPr>
              <w:t>内容</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1</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Хэрэглэх цар хүрээ</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使用范围</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21"/>
                <w:highlight w:val="yellow"/>
                <w:lang w:val="mn-MN"/>
              </w:rPr>
            </w:pPr>
            <w:r>
              <w:rPr>
                <w:rFonts w:hint="default"/>
                <w:szCs w:val="21"/>
                <w:highlight w:val="yellow"/>
                <w:cs/>
                <w:lang w:val="mn-MN"/>
              </w:rPr>
              <w:t xml:space="preserve">Шинь Шинь ХХК-ний баяжмал тээвэрлэлтийн бүтээгдэхүүн нь 2тн-оор савлагдсан  байх ба сард 5500тн баяжмал тээвэрлэх юм. </w:t>
            </w:r>
            <w:r>
              <w:rPr>
                <w:rFonts w:hint="default"/>
                <w:szCs w:val="21"/>
                <w:highlight w:val="yellow"/>
                <w:lang w:val="mn-MN"/>
              </w:rPr>
              <w:t xml:space="preserve">Тээвэрлэх маршрут нь Улааны уурхайн гаалийн бүсээс Чойбалсан хотын Баянтүмэн өртөө хүртэл </w:t>
            </w:r>
            <w:r>
              <w:rPr>
                <w:rFonts w:hint="eastAsia"/>
                <w:szCs w:val="21"/>
                <w:highlight w:val="yellow"/>
                <w:lang w:val="en-US" w:eastAsia="zh-CN"/>
              </w:rPr>
              <w:t>245</w:t>
            </w:r>
            <w:r>
              <w:rPr>
                <w:rFonts w:hint="default"/>
                <w:szCs w:val="21"/>
                <w:highlight w:val="yellow"/>
                <w:lang w:val="mn-MN"/>
              </w:rPr>
              <w:t xml:space="preserve"> км. Урьдчилсан тооцоолсоноор жилд нийт </w:t>
            </w:r>
            <w:r>
              <w:rPr>
                <w:rFonts w:hint="eastAsia"/>
                <w:szCs w:val="21"/>
                <w:highlight w:val="yellow"/>
                <w:lang w:val="en-US" w:eastAsia="zh-CN"/>
              </w:rPr>
              <w:t>15000</w:t>
            </w:r>
            <w:r>
              <w:rPr>
                <w:rFonts w:hint="default"/>
                <w:szCs w:val="21"/>
                <w:highlight w:val="yellow"/>
                <w:lang w:val="mn-MN"/>
              </w:rPr>
              <w:t xml:space="preserve">тн баяжмал тээвэрлэнэ. </w:t>
            </w:r>
          </w:p>
          <w:p>
            <w:pPr>
              <w:keepNext w:val="0"/>
              <w:keepLines w:val="0"/>
              <w:widowControl/>
              <w:suppressLineNumbers w:val="0"/>
              <w:spacing w:before="0" w:beforeAutospacing="0" w:after="0" w:afterAutospacing="0"/>
              <w:ind w:left="0" w:right="0"/>
              <w:rPr>
                <w:rFonts w:hint="default"/>
                <w:szCs w:val="21"/>
              </w:rPr>
            </w:pPr>
            <w:r>
              <w:rPr>
                <w:rFonts w:hint="default"/>
                <w:szCs w:val="21"/>
                <w:highlight w:val="yellow"/>
              </w:rPr>
              <w:t>新鑫有限责任公司项目</w:t>
            </w:r>
            <w:r>
              <w:rPr>
                <w:rFonts w:hint="eastAsia"/>
                <w:szCs w:val="21"/>
                <w:highlight w:val="yellow"/>
              </w:rPr>
              <w:t>精矿粉</w:t>
            </w:r>
            <w:r>
              <w:rPr>
                <w:rFonts w:hint="default"/>
                <w:szCs w:val="21"/>
                <w:highlight w:val="yellow"/>
              </w:rPr>
              <w:t>汽车运输汽车运输精矿粉产品，袋装2吨，</w:t>
            </w:r>
            <w:r>
              <w:rPr>
                <w:rFonts w:hint="eastAsia"/>
                <w:szCs w:val="21"/>
                <w:highlight w:val="yellow"/>
              </w:rPr>
              <w:t>预估</w:t>
            </w:r>
            <w:r>
              <w:rPr>
                <w:rFonts w:hint="eastAsia"/>
                <w:szCs w:val="21"/>
                <w:highlight w:val="yellow"/>
                <w:lang w:val="en-US" w:eastAsia="zh-CN"/>
              </w:rPr>
              <w:t>15</w:t>
            </w:r>
            <w:r>
              <w:rPr>
                <w:rFonts w:hint="default"/>
                <w:szCs w:val="21"/>
                <w:highlight w:val="yellow"/>
              </w:rPr>
              <w:t>000吨；</w:t>
            </w:r>
            <w:r>
              <w:rPr>
                <w:rFonts w:hint="eastAsia"/>
                <w:szCs w:val="21"/>
                <w:highlight w:val="yellow"/>
              </w:rPr>
              <w:t>新鑫公司</w:t>
            </w:r>
            <w:r>
              <w:rPr>
                <w:rFonts w:hint="default"/>
                <w:szCs w:val="21"/>
                <w:highlight w:val="yellow"/>
              </w:rPr>
              <w:t>乌兰矿海关监管区-</w:t>
            </w:r>
            <w:r>
              <w:rPr>
                <w:rFonts w:hint="eastAsia"/>
                <w:szCs w:val="21"/>
                <w:highlight w:val="yellow"/>
                <w:lang w:val="en-US" w:eastAsia="zh-CN"/>
              </w:rPr>
              <w:t>噶临河桥</w:t>
            </w:r>
            <w:r>
              <w:rPr>
                <w:rFonts w:hint="default"/>
                <w:szCs w:val="21"/>
                <w:highlight w:val="yellow"/>
              </w:rPr>
              <w:t>-</w:t>
            </w:r>
            <w:r>
              <w:rPr>
                <w:rFonts w:hint="eastAsia"/>
                <w:szCs w:val="21"/>
                <w:highlight w:val="yellow"/>
                <w:lang w:val="en-US" w:eastAsia="zh-CN"/>
              </w:rPr>
              <w:t>哈毕日嘎口岸-阿日哈沙特口岸</w:t>
            </w:r>
            <w:r>
              <w:rPr>
                <w:rFonts w:hint="default"/>
                <w:szCs w:val="21"/>
                <w:highlight w:val="yellow"/>
              </w:rPr>
              <w:t>；全程</w:t>
            </w:r>
            <w:r>
              <w:rPr>
                <w:rFonts w:hint="eastAsia"/>
                <w:szCs w:val="21"/>
                <w:highlight w:val="yellow"/>
                <w:lang w:val="en-US" w:eastAsia="zh-CN"/>
              </w:rPr>
              <w:t>245</w:t>
            </w:r>
            <w:r>
              <w:rPr>
                <w:rFonts w:hint="default"/>
                <w:szCs w:val="21"/>
                <w:highlight w:val="yellow"/>
              </w:rPr>
              <w:t>公里。</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2</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Барьцаа мөнгө</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履约保证金</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480" w:right="0" w:firstLine="843"/>
              <w:rPr>
                <w:rFonts w:hint="default"/>
                <w:bCs/>
                <w:kern w:val="0"/>
                <w:szCs w:val="21"/>
              </w:rPr>
            </w:pPr>
            <w:r>
              <w:rPr>
                <w:rFonts w:hint="default"/>
                <w:bCs/>
                <w:kern w:val="0"/>
                <w:szCs w:val="21"/>
              </w:rPr>
              <w:t>/</w:t>
            </w:r>
          </w:p>
        </w:tc>
      </w:tr>
      <w:tr>
        <w:tblPrEx>
          <w:tblCellMar>
            <w:top w:w="0" w:type="dxa"/>
            <w:left w:w="108" w:type="dxa"/>
            <w:bottom w:w="0" w:type="dxa"/>
            <w:right w:w="108" w:type="dxa"/>
          </w:tblCellMar>
        </w:tblPrEx>
        <w:trPr>
          <w:trHeight w:val="296"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3</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Тендэрийн хүчинтэйхугацаа</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投标有效期</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480" w:right="0" w:firstLine="843"/>
              <w:jc w:val="center"/>
              <w:rPr>
                <w:rFonts w:hint="default"/>
                <w:bCs/>
                <w:kern w:val="0"/>
                <w:szCs w:val="21"/>
                <w:lang w:val="mn-MN"/>
              </w:rPr>
            </w:pPr>
            <w:r>
              <w:rPr>
                <w:rFonts w:hint="eastAsia"/>
                <w:bCs/>
                <w:kern w:val="0"/>
                <w:szCs w:val="21"/>
                <w:lang w:val="en-US" w:eastAsia="zh-CN"/>
              </w:rPr>
              <w:t>30</w:t>
            </w:r>
            <w:r>
              <w:rPr>
                <w:rFonts w:hint="default"/>
                <w:bCs/>
                <w:kern w:val="0"/>
                <w:szCs w:val="21"/>
              </w:rPr>
              <w:t>天</w:t>
            </w:r>
            <w:r>
              <w:rPr>
                <w:rFonts w:hint="default"/>
                <w:bCs/>
                <w:kern w:val="0"/>
                <w:szCs w:val="21"/>
                <w:cs/>
                <w:lang w:val="mn-MN"/>
              </w:rPr>
              <w:t>/</w:t>
            </w:r>
            <w:r>
              <w:rPr>
                <w:rFonts w:hint="eastAsia"/>
                <w:bCs/>
                <w:kern w:val="0"/>
                <w:szCs w:val="21"/>
                <w:cs w:val="0"/>
                <w:lang w:val="en-US" w:eastAsia="zh-CN"/>
              </w:rPr>
              <w:t>3</w:t>
            </w:r>
            <w:r>
              <w:rPr>
                <w:rFonts w:hint="default"/>
                <w:bCs/>
                <w:kern w:val="0"/>
                <w:szCs w:val="21"/>
                <w:cs/>
                <w:lang w:val="mn-MN"/>
              </w:rPr>
              <w:t>0 хоног</w:t>
            </w:r>
          </w:p>
        </w:tc>
      </w:tr>
      <w:tr>
        <w:tblPrEx>
          <w:tblCellMar>
            <w:top w:w="0" w:type="dxa"/>
            <w:left w:w="108" w:type="dxa"/>
            <w:bottom w:w="0" w:type="dxa"/>
            <w:right w:w="108" w:type="dxa"/>
          </w:tblCellMar>
        </w:tblPrEx>
        <w:trPr>
          <w:trHeight w:val="343"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4</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480" w:right="0" w:firstLine="843"/>
              <w:rPr>
                <w:rFonts w:hint="default"/>
                <w:kern w:val="0"/>
                <w:szCs w:val="21"/>
              </w:rPr>
            </w:pPr>
            <w:r>
              <w:rPr>
                <w:rFonts w:hint="default"/>
                <w:kern w:val="0"/>
                <w:szCs w:val="21"/>
              </w:rPr>
              <w:t>交货期</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kern w:val="0"/>
                <w:szCs w:val="21"/>
                <w:lang w:val="mn-MN"/>
              </w:rPr>
            </w:pPr>
            <w:r>
              <w:rPr>
                <w:rFonts w:hint="default"/>
                <w:kern w:val="0"/>
                <w:szCs w:val="21"/>
                <w:cs/>
                <w:lang w:val="mn-MN"/>
              </w:rPr>
              <w:t xml:space="preserve">Тендэр зарлагч талын төлөвлөгөөнд тусгагдсан шаардлагыг үндэслэн тогтсон хугацаан дотор  баяжмал тээвэрлэлтийн ажлыг хийж дуусгана. </w:t>
            </w:r>
          </w:p>
          <w:p>
            <w:pPr>
              <w:keepNext w:val="0"/>
              <w:keepLines w:val="0"/>
              <w:widowControl/>
              <w:suppressLineNumbers w:val="0"/>
              <w:spacing w:before="0" w:beforeAutospacing="0" w:after="0" w:afterAutospacing="0"/>
              <w:ind w:left="0" w:right="0"/>
              <w:rPr>
                <w:rFonts w:hint="default"/>
                <w:kern w:val="0"/>
                <w:szCs w:val="21"/>
              </w:rPr>
            </w:pPr>
            <w:r>
              <w:rPr>
                <w:rFonts w:hint="default"/>
                <w:kern w:val="0"/>
                <w:szCs w:val="21"/>
              </w:rPr>
              <w:t>根据招标方需求计划，在</w:t>
            </w:r>
            <w:r>
              <w:rPr>
                <w:rFonts w:hint="eastAsia"/>
                <w:kern w:val="0"/>
                <w:szCs w:val="21"/>
              </w:rPr>
              <w:t>规定期限内完成精矿粉运输</w:t>
            </w:r>
            <w:r>
              <w:rPr>
                <w:rFonts w:hint="default"/>
                <w:kern w:val="0"/>
                <w:szCs w:val="21"/>
              </w:rPr>
              <w:t>。</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5</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Тендэрийн бичиг баримт</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投标文件</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rPr>
                <w:rFonts w:hint="default"/>
                <w:bCs/>
                <w:kern w:val="0"/>
                <w:szCs w:val="21"/>
                <w:lang w:val="mn-MN"/>
              </w:rPr>
            </w:pPr>
            <w:r>
              <w:rPr>
                <w:rFonts w:hint="default"/>
                <w:bCs/>
                <w:kern w:val="0"/>
                <w:szCs w:val="21"/>
                <w:cs/>
                <w:lang w:val="mn-MN"/>
              </w:rPr>
              <w:t>Тендэрийн бичиг баримт нь тендэр нээсэн жагсаалт болон бизнес техникийн үзүүлэлтээс бүрднэ. Тендэрийн бичиг баримтыг цахимаар болон битүүмжилсэн бичгээр гэж хуваана. Цахим тендэрийн бичиг баримт нь нэгтгэсэн 1 хувь файл</w:t>
            </w:r>
            <w:r>
              <w:rPr>
                <w:rFonts w:hint="default"/>
                <w:bCs/>
                <w:kern w:val="0"/>
                <w:szCs w:val="21"/>
                <w:lang w:val="en-GB"/>
              </w:rPr>
              <w:t xml:space="preserve">(EXCEL </w:t>
            </w:r>
            <w:r>
              <w:rPr>
                <w:rFonts w:hint="default"/>
                <w:bCs/>
                <w:kern w:val="0"/>
                <w:szCs w:val="21"/>
                <w:cs/>
                <w:lang w:val="mn-MN"/>
              </w:rPr>
              <w:t xml:space="preserve">дээр боловсруулсан, бизнес техникийн үзүүлэлтийг </w:t>
            </w:r>
            <w:r>
              <w:rPr>
                <w:rFonts w:hint="default"/>
                <w:bCs/>
                <w:kern w:val="0"/>
                <w:szCs w:val="21"/>
                <w:lang w:val="en-GB"/>
              </w:rPr>
              <w:t xml:space="preserve">word </w:t>
            </w:r>
            <w:r>
              <w:rPr>
                <w:rFonts w:hint="default"/>
                <w:bCs/>
                <w:kern w:val="0"/>
                <w:szCs w:val="21"/>
                <w:cs/>
                <w:lang w:val="mn-MN"/>
              </w:rPr>
              <w:t xml:space="preserve">дээр боловмруулж, </w:t>
            </w:r>
            <w:r>
              <w:rPr>
                <w:rFonts w:hint="default"/>
                <w:bCs/>
                <w:kern w:val="0"/>
                <w:szCs w:val="21"/>
                <w:lang w:val="en-GB"/>
              </w:rPr>
              <w:t xml:space="preserve">PDF </w:t>
            </w:r>
            <w:r>
              <w:rPr>
                <w:rFonts w:hint="default"/>
                <w:bCs/>
                <w:kern w:val="0"/>
                <w:szCs w:val="21"/>
                <w:cs/>
                <w:lang w:val="mn-MN"/>
              </w:rPr>
              <w:t xml:space="preserve">дээр тод гарсан гарын үсэг, тамгатай  скайнэрдсэн хуулбар </w:t>
            </w:r>
            <w:r>
              <w:rPr>
                <w:rFonts w:hint="default"/>
                <w:bCs/>
                <w:kern w:val="0"/>
                <w:szCs w:val="21"/>
                <w:lang w:val="en-GB"/>
              </w:rPr>
              <w:t>)</w:t>
            </w:r>
            <w:r>
              <w:rPr>
                <w:rFonts w:hint="default"/>
                <w:bCs/>
                <w:kern w:val="0"/>
                <w:szCs w:val="21"/>
                <w:cs/>
                <w:lang w:val="mn-MN"/>
              </w:rPr>
              <w:t>, цахим хэлбэрээр тенд</w:t>
            </w:r>
            <w:r>
              <w:rPr>
                <w:rFonts w:hint="default"/>
                <w:bCs/>
                <w:kern w:val="0"/>
                <w:szCs w:val="21"/>
                <w:lang w:val="mn-MN"/>
              </w:rPr>
              <w:t>э</w:t>
            </w:r>
            <w:r>
              <w:rPr>
                <w:rFonts w:hint="default"/>
                <w:bCs/>
                <w:kern w:val="0"/>
                <w:szCs w:val="21"/>
                <w:cs/>
                <w:lang w:val="mn-MN"/>
              </w:rPr>
              <w:t>рт оролцохдоо Шинь Шинь ХХК-ний</w:t>
            </w:r>
            <w:r>
              <w:rPr>
                <w:rFonts w:hint="default"/>
                <w:bCs/>
                <w:color w:val="0000FF"/>
                <w:kern w:val="0"/>
                <w:szCs w:val="21"/>
                <w:highlight w:val="yellow"/>
                <w:cs/>
                <w:lang w:val="mn-MN"/>
              </w:rPr>
              <w:t xml:space="preserve"> </w:t>
            </w:r>
            <w:r>
              <w:rPr>
                <w:rFonts w:hint="default"/>
                <w:color w:val="0000FF"/>
                <w:sz w:val="20"/>
                <w:szCs w:val="22"/>
                <w:highlight w:val="yellow"/>
              </w:rPr>
              <w:fldChar w:fldCharType="begin"/>
            </w:r>
            <w:r>
              <w:rPr>
                <w:rFonts w:hint="default"/>
                <w:color w:val="0000FF"/>
                <w:sz w:val="20"/>
                <w:szCs w:val="22"/>
                <w:highlight w:val="yellow"/>
              </w:rPr>
              <w:instrText xml:space="preserve"> HYPERLINK "mailto:（%20xinxinoffice@gmail.com%20%20）" </w:instrText>
            </w:r>
            <w:r>
              <w:rPr>
                <w:rFonts w:hint="default"/>
                <w:color w:val="0000FF"/>
                <w:sz w:val="20"/>
                <w:szCs w:val="22"/>
                <w:highlight w:val="yellow"/>
              </w:rPr>
              <w:fldChar w:fldCharType="separate"/>
            </w:r>
            <w:r>
              <w:rPr>
                <w:rStyle w:val="143"/>
                <w:rFonts w:hint="default"/>
                <w:bCs/>
                <w:color w:val="0000FF"/>
                <w:kern w:val="0"/>
                <w:sz w:val="20"/>
                <w:szCs w:val="20"/>
                <w:highlight w:val="yellow"/>
              </w:rPr>
              <w:t>（</w:t>
            </w:r>
            <w:r>
              <w:rPr>
                <w:rFonts w:hint="default"/>
                <w:color w:val="0000FF"/>
                <w:sz w:val="20"/>
                <w:szCs w:val="22"/>
                <w:highlight w:val="yellow"/>
              </w:rPr>
              <w:fldChar w:fldCharType="begin"/>
            </w:r>
            <w:r>
              <w:rPr>
                <w:rFonts w:hint="default"/>
                <w:color w:val="0000FF"/>
                <w:sz w:val="20"/>
                <w:szCs w:val="22"/>
                <w:highlight w:val="yellow"/>
              </w:rPr>
              <w:instrText xml:space="preserve"> HYPERLINK "mailto:xxkbj@xxkbid.com" </w:instrText>
            </w:r>
            <w:r>
              <w:rPr>
                <w:rFonts w:hint="default"/>
                <w:color w:val="0000FF"/>
                <w:sz w:val="20"/>
                <w:szCs w:val="22"/>
                <w:highlight w:val="yellow"/>
              </w:rPr>
              <w:fldChar w:fldCharType="separate"/>
            </w:r>
            <w:r>
              <w:rPr>
                <w:rStyle w:val="143"/>
                <w:rFonts w:hint="eastAsia" w:ascii="仿宋" w:hAnsi="仿宋" w:eastAsia="仿宋" w:cs="仿宋"/>
                <w:color w:val="0000FF"/>
                <w:spacing w:val="-2"/>
                <w:sz w:val="24"/>
                <w:szCs w:val="24"/>
                <w:highlight w:val="yellow"/>
              </w:rPr>
              <w:t>xxkbj@xxkbid.com</w:t>
            </w:r>
            <w:r>
              <w:rPr>
                <w:rStyle w:val="143"/>
                <w:rFonts w:hint="eastAsia" w:ascii="仿宋" w:hAnsi="仿宋" w:eastAsia="仿宋" w:cs="仿宋"/>
                <w:color w:val="0000FF"/>
                <w:spacing w:val="-2"/>
                <w:sz w:val="24"/>
                <w:szCs w:val="24"/>
                <w:highlight w:val="yellow"/>
              </w:rPr>
              <w:fldChar w:fldCharType="end"/>
            </w:r>
            <w:r>
              <w:rPr>
                <w:rStyle w:val="143"/>
                <w:rFonts w:hint="eastAsia"/>
                <w:bCs/>
                <w:color w:val="0000FF"/>
                <w:kern w:val="0"/>
                <w:sz w:val="20"/>
                <w:szCs w:val="20"/>
                <w:highlight w:val="yellow"/>
              </w:rPr>
              <w:t xml:space="preserve"> </w:t>
            </w:r>
            <w:r>
              <w:rPr>
                <w:rStyle w:val="143"/>
                <w:rFonts w:hint="default"/>
                <w:bCs/>
                <w:color w:val="0000FF"/>
                <w:kern w:val="0"/>
                <w:sz w:val="20"/>
                <w:szCs w:val="20"/>
                <w:highlight w:val="yellow"/>
              </w:rPr>
              <w:t>）</w:t>
            </w:r>
            <w:r>
              <w:rPr>
                <w:rStyle w:val="143"/>
                <w:rFonts w:hint="default"/>
                <w:bCs/>
                <w:color w:val="0000FF"/>
                <w:kern w:val="0"/>
                <w:sz w:val="20"/>
                <w:szCs w:val="20"/>
                <w:highlight w:val="yellow"/>
              </w:rPr>
              <w:fldChar w:fldCharType="end"/>
            </w:r>
            <w:r>
              <w:rPr>
                <w:rFonts w:hint="default"/>
                <w:bCs/>
                <w:kern w:val="0"/>
                <w:szCs w:val="21"/>
                <w:cs/>
                <w:lang w:val="mn-MN"/>
              </w:rPr>
              <w:t xml:space="preserve">хаягаар илгээнэ. Гэхдээ флашинд хуулж өгөх шаардлагагүй, Битүүмжилсэн бичиг хэлбэрээр тендэр нээсэн жагсаалт 1 хувь заавал тусад нь битүүмжлэх </w:t>
            </w:r>
            <w:r>
              <w:rPr>
                <w:rFonts w:hint="default"/>
                <w:bCs/>
                <w:kern w:val="0"/>
                <w:szCs w:val="21"/>
                <w:lang w:val="en-GB"/>
              </w:rPr>
              <w:t>)</w:t>
            </w:r>
            <w:r>
              <w:rPr>
                <w:rFonts w:hint="default"/>
                <w:bCs/>
                <w:kern w:val="0"/>
                <w:szCs w:val="21"/>
                <w:cs/>
                <w:lang w:val="mn-MN"/>
              </w:rPr>
              <w:t>, бизнес техникийн үзүүлэлт 1 хувийг тендэр зарлагчийн төлөөлөгчид хүлээлгэн өгөх шаардлагатай.  Битүүмжлэхэд анхаарах зүйлс: 1. тендэрт оролцогч байгууллагын нэр болон хаяг, 2. төслийн нэр, тендэрийн дугаар болон тендэр нээх өдрөөс өмнө задлахыг хориглоно.</w:t>
            </w:r>
          </w:p>
          <w:p>
            <w:pPr>
              <w:keepNext w:val="0"/>
              <w:keepLines w:val="0"/>
              <w:widowControl/>
              <w:suppressLineNumbers w:val="0"/>
              <w:spacing w:before="0" w:beforeAutospacing="0" w:after="0" w:afterAutospacing="0"/>
              <w:ind w:left="0" w:right="0"/>
              <w:rPr>
                <w:rFonts w:hint="default"/>
                <w:kern w:val="0"/>
                <w:szCs w:val="21"/>
              </w:rPr>
            </w:pPr>
            <w:r>
              <w:rPr>
                <w:rFonts w:hint="default"/>
                <w:bCs/>
                <w:kern w:val="0"/>
                <w:szCs w:val="21"/>
                <w:lang w:val="mn-MN"/>
              </w:rPr>
              <w:t>投标文件由开标一览表和商务技术标组成，投标文件分为电子版和密封完好的纸质版：电子版投标文件压缩包1份（需包含可编辑的EXCEL版开标一览表，可编辑的WORD版商务技术标、清晰的PDF签字盖章扫描件）,电子版只需在投标时发送至新鑫公司报价邮箱（xinxinoffice@gmail.com</w:t>
            </w:r>
            <w:r>
              <w:rPr>
                <w:rFonts w:hint="eastAsia"/>
                <w:bCs/>
                <w:kern w:val="0"/>
                <w:szCs w:val="21"/>
              </w:rPr>
              <w:t xml:space="preserve"> </w:t>
            </w:r>
            <w:r>
              <w:rPr>
                <w:rFonts w:hint="default"/>
                <w:bCs/>
                <w:kern w:val="0"/>
                <w:szCs w:val="21"/>
                <w:lang w:val="mn-MN"/>
              </w:rPr>
              <w:t>）即可，不需要以拷贝到U盘的形式现场递交给招标代理人；密封完好的纸质版开标一览表1份（须单独密封）和商务技术标1份，需要现场递交给招标代理人。</w:t>
            </w:r>
            <w:r>
              <w:rPr>
                <w:rFonts w:hint="default"/>
                <w:bCs/>
                <w:kern w:val="0"/>
                <w:szCs w:val="21"/>
              </w:rPr>
              <w:t>包装封面应注明：（1）投标单位的名称和地址。（2）项目名称、招标文件编号和“开标日期前不准启封”的字样。</w:t>
            </w:r>
          </w:p>
        </w:tc>
      </w:tr>
      <w:tr>
        <w:tblPrEx>
          <w:tblCellMar>
            <w:top w:w="0" w:type="dxa"/>
            <w:left w:w="108" w:type="dxa"/>
            <w:bottom w:w="0" w:type="dxa"/>
            <w:right w:w="108" w:type="dxa"/>
          </w:tblCellMar>
        </w:tblPrEx>
        <w:trPr>
          <w:trHeight w:val="1140"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6</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cs/>
                <w:lang w:val="mn-MN"/>
              </w:rPr>
            </w:pPr>
            <w:r>
              <w:rPr>
                <w:rFonts w:hint="default"/>
                <w:kern w:val="0"/>
                <w:szCs w:val="21"/>
                <w:cs/>
                <w:lang w:val="mn-MN"/>
              </w:rPr>
              <w:t>Тендэр нээх</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开标</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0" w:right="0"/>
              <w:rPr>
                <w:rFonts w:hint="default"/>
                <w:kern w:val="0"/>
                <w:szCs w:val="21"/>
                <w:highlight w:val="yellow"/>
                <w:cs/>
                <w:lang w:val="mn-MN"/>
              </w:rPr>
            </w:pPr>
            <w:r>
              <w:rPr>
                <w:rFonts w:hint="default"/>
                <w:kern w:val="0"/>
                <w:szCs w:val="21"/>
                <w:highlight w:val="yellow"/>
                <w:cs/>
                <w:lang w:val="mn-MN"/>
              </w:rPr>
              <w:t>Тендэр нээх хугацаа: 202</w:t>
            </w:r>
            <w:r>
              <w:rPr>
                <w:rFonts w:hint="eastAsia"/>
                <w:kern w:val="0"/>
                <w:szCs w:val="21"/>
                <w:highlight w:val="yellow"/>
                <w:cs w:val="0"/>
                <w:lang w:val="en-US" w:eastAsia="zh-CN"/>
              </w:rPr>
              <w:t>6</w:t>
            </w:r>
            <w:r>
              <w:rPr>
                <w:rFonts w:hint="default"/>
                <w:kern w:val="0"/>
                <w:szCs w:val="21"/>
                <w:highlight w:val="yellow"/>
                <w:cs/>
                <w:lang w:val="mn-MN"/>
              </w:rPr>
              <w:t xml:space="preserve"> оны 0</w:t>
            </w:r>
            <w:r>
              <w:rPr>
                <w:rFonts w:hint="eastAsia"/>
                <w:kern w:val="0"/>
                <w:szCs w:val="21"/>
                <w:highlight w:val="yellow"/>
                <w:cs w:val="0"/>
                <w:lang w:val="en-US" w:eastAsia="zh-CN"/>
              </w:rPr>
              <w:t>2</w:t>
            </w:r>
            <w:r>
              <w:rPr>
                <w:rFonts w:hint="default"/>
                <w:kern w:val="0"/>
                <w:szCs w:val="21"/>
                <w:highlight w:val="yellow"/>
                <w:cs/>
                <w:lang w:val="mn-MN"/>
              </w:rPr>
              <w:t xml:space="preserve"> сарын</w:t>
            </w:r>
            <w:r>
              <w:rPr>
                <w:rFonts w:hint="eastAsia"/>
                <w:kern w:val="0"/>
                <w:szCs w:val="21"/>
                <w:highlight w:val="yellow"/>
                <w:cs w:val="0"/>
                <w:lang w:val="en-US" w:eastAsia="zh-CN"/>
              </w:rPr>
              <w:t xml:space="preserve"> 03 </w:t>
            </w:r>
            <w:r>
              <w:rPr>
                <w:rFonts w:hint="default"/>
                <w:kern w:val="0"/>
                <w:szCs w:val="21"/>
                <w:highlight w:val="yellow"/>
                <w:cs/>
                <w:lang w:val="mn-MN"/>
              </w:rPr>
              <w:t xml:space="preserve">өдөр </w:t>
            </w:r>
            <w:r>
              <w:rPr>
                <w:rFonts w:hint="eastAsia"/>
                <w:kern w:val="0"/>
                <w:szCs w:val="21"/>
                <w:highlight w:val="yellow"/>
                <w:cs w:val="0"/>
                <w:lang w:val="en-US" w:eastAsia="zh-CN"/>
              </w:rPr>
              <w:t>09</w:t>
            </w:r>
            <w:bookmarkStart w:id="145" w:name="_GoBack"/>
            <w:bookmarkEnd w:id="145"/>
            <w:r>
              <w:rPr>
                <w:rFonts w:hint="default"/>
                <w:kern w:val="0"/>
                <w:szCs w:val="21"/>
                <w:highlight w:val="yellow"/>
                <w:cs/>
                <w:lang w:val="mn-MN"/>
              </w:rPr>
              <w:t>:30 минут</w:t>
            </w:r>
          </w:p>
          <w:p>
            <w:pPr>
              <w:keepNext w:val="0"/>
              <w:keepLines w:val="0"/>
              <w:widowControl/>
              <w:suppressLineNumbers w:val="0"/>
              <w:spacing w:before="0" w:beforeAutospacing="0" w:after="0" w:afterAutospacing="0" w:line="240" w:lineRule="atLeast"/>
              <w:ind w:left="0" w:right="0"/>
              <w:rPr>
                <w:rFonts w:hint="eastAsia"/>
                <w:kern w:val="0"/>
                <w:szCs w:val="21"/>
                <w:highlight w:val="yellow"/>
                <w:cs/>
                <w:lang w:val="mn-MN"/>
              </w:rPr>
            </w:pPr>
            <w:r>
              <w:rPr>
                <w:rFonts w:hint="eastAsia"/>
                <w:kern w:val="0"/>
                <w:szCs w:val="21"/>
                <w:highlight w:val="yellow"/>
                <w:cs/>
                <w:lang w:val="mn-MN"/>
              </w:rPr>
              <w:t>Байршил:"Шинэшин" компанийн Улаан уурхай.</w:t>
            </w:r>
          </w:p>
          <w:p>
            <w:pPr>
              <w:keepNext w:val="0"/>
              <w:keepLines w:val="0"/>
              <w:widowControl/>
              <w:suppressLineNumbers w:val="0"/>
              <w:spacing w:before="0" w:beforeAutospacing="0" w:after="0" w:afterAutospacing="0" w:line="240" w:lineRule="atLeast"/>
              <w:ind w:left="0" w:right="0"/>
              <w:rPr>
                <w:rFonts w:hint="default"/>
                <w:kern w:val="0"/>
                <w:szCs w:val="21"/>
                <w:highlight w:val="yellow"/>
                <w:lang w:val="mn-MN"/>
              </w:rPr>
            </w:pPr>
            <w:r>
              <w:rPr>
                <w:rFonts w:hint="default"/>
                <w:kern w:val="0"/>
                <w:szCs w:val="21"/>
                <w:highlight w:val="yellow"/>
              </w:rPr>
              <w:t>开标时间：202</w:t>
            </w:r>
            <w:r>
              <w:rPr>
                <w:rFonts w:hint="eastAsia"/>
                <w:kern w:val="0"/>
                <w:szCs w:val="21"/>
                <w:highlight w:val="yellow"/>
                <w:lang w:val="en-US" w:eastAsia="zh-CN"/>
              </w:rPr>
              <w:t>6</w:t>
            </w:r>
            <w:r>
              <w:rPr>
                <w:rFonts w:hint="default"/>
                <w:kern w:val="0"/>
                <w:szCs w:val="21"/>
                <w:highlight w:val="yellow"/>
              </w:rPr>
              <w:t>年</w:t>
            </w:r>
            <w:r>
              <w:rPr>
                <w:rFonts w:hint="eastAsia"/>
                <w:kern w:val="0"/>
                <w:szCs w:val="21"/>
                <w:highlight w:val="yellow"/>
                <w:lang w:val="en-US" w:eastAsia="zh-CN"/>
              </w:rPr>
              <w:t>02</w:t>
            </w:r>
            <w:r>
              <w:rPr>
                <w:rFonts w:hint="default"/>
                <w:kern w:val="0"/>
                <w:szCs w:val="21"/>
                <w:highlight w:val="yellow"/>
              </w:rPr>
              <w:t>月</w:t>
            </w:r>
            <w:r>
              <w:rPr>
                <w:rFonts w:hint="eastAsia"/>
                <w:kern w:val="0"/>
                <w:szCs w:val="21"/>
                <w:highlight w:val="yellow"/>
                <w:lang w:val="en-US" w:eastAsia="zh-CN"/>
              </w:rPr>
              <w:t>03</w:t>
            </w:r>
            <w:r>
              <w:rPr>
                <w:rFonts w:hint="default"/>
                <w:kern w:val="0"/>
                <w:szCs w:val="21"/>
                <w:highlight w:val="yellow"/>
              </w:rPr>
              <w:t>日</w:t>
            </w:r>
            <w:r>
              <w:rPr>
                <w:rFonts w:hint="eastAsia"/>
                <w:kern w:val="0"/>
                <w:szCs w:val="21"/>
                <w:highlight w:val="yellow"/>
                <w:lang w:val="en-US" w:eastAsia="zh-CN"/>
              </w:rPr>
              <w:t>09</w:t>
            </w:r>
            <w:r>
              <w:rPr>
                <w:rFonts w:hint="default"/>
                <w:kern w:val="0"/>
                <w:szCs w:val="21"/>
                <w:highlight w:val="yellow"/>
              </w:rPr>
              <w:t>:</w:t>
            </w:r>
            <w:r>
              <w:rPr>
                <w:rFonts w:hint="default"/>
                <w:kern w:val="0"/>
                <w:szCs w:val="21"/>
                <w:highlight w:val="yellow"/>
                <w:lang w:val="mn-MN"/>
              </w:rPr>
              <w:t>30</w:t>
            </w:r>
          </w:p>
          <w:p>
            <w:pPr>
              <w:keepNext w:val="0"/>
              <w:keepLines w:val="0"/>
              <w:widowControl/>
              <w:suppressLineNumbers w:val="0"/>
              <w:spacing w:before="0" w:beforeAutospacing="0" w:after="0" w:afterAutospacing="0" w:line="240" w:lineRule="atLeast"/>
              <w:ind w:left="0" w:right="0"/>
              <w:rPr>
                <w:rFonts w:hint="default"/>
                <w:kern w:val="0"/>
                <w:szCs w:val="21"/>
                <w:lang w:val="en-US"/>
              </w:rPr>
            </w:pPr>
            <w:r>
              <w:rPr>
                <w:rFonts w:hint="default"/>
                <w:kern w:val="0"/>
                <w:szCs w:val="21"/>
                <w:highlight w:val="yellow"/>
              </w:rPr>
              <w:t>地点：</w:t>
            </w:r>
            <w:r>
              <w:rPr>
                <w:rFonts w:hint="eastAsia"/>
                <w:kern w:val="0"/>
                <w:szCs w:val="21"/>
                <w:highlight w:val="yellow"/>
                <w:lang w:val="en-US" w:eastAsia="zh-CN"/>
              </w:rPr>
              <w:t>新鑫公司乌兰矿</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7</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Тендэрийн бичиг баримтын үнэлгээ</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投标文件评估</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kern w:val="0"/>
                <w:szCs w:val="21"/>
                <w:lang w:val="mn-MN"/>
              </w:rPr>
            </w:pPr>
            <w:r>
              <w:rPr>
                <w:rFonts w:hint="default"/>
                <w:kern w:val="0"/>
                <w:szCs w:val="21"/>
                <w:cs/>
                <w:lang w:val="mn-MN"/>
              </w:rPr>
              <w:t>Бусад тендэрийн үнэлгээний бодолцох хүчин зүйл: төлбөр төлөх нөхцөл, бизнесийн хөнгөлөлт</w:t>
            </w:r>
          </w:p>
          <w:p>
            <w:pPr>
              <w:keepNext w:val="0"/>
              <w:keepLines w:val="0"/>
              <w:widowControl/>
              <w:suppressLineNumbers w:val="0"/>
              <w:spacing w:before="0" w:beforeAutospacing="0" w:after="0" w:afterAutospacing="0"/>
              <w:ind w:left="0" w:right="0"/>
              <w:rPr>
                <w:rFonts w:hint="default"/>
                <w:kern w:val="0"/>
                <w:szCs w:val="21"/>
              </w:rPr>
            </w:pPr>
            <w:r>
              <w:rPr>
                <w:rFonts w:hint="default"/>
                <w:kern w:val="0"/>
                <w:szCs w:val="21"/>
              </w:rPr>
              <w:t>其他评标考虑因素：付款条件与商务优惠</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8</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lang w:val="mn-MN"/>
              </w:rPr>
            </w:pPr>
            <w:r>
              <w:rPr>
                <w:rFonts w:hint="default"/>
                <w:kern w:val="0"/>
                <w:szCs w:val="21"/>
                <w:cs/>
                <w:lang w:val="mn-MN"/>
              </w:rPr>
              <w:t>Тоо ширхэгийн өөрчлөлт</w:t>
            </w:r>
          </w:p>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数量变更</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kern w:val="0"/>
                <w:szCs w:val="21"/>
                <w:lang w:val="mn-MN"/>
              </w:rPr>
            </w:pPr>
            <w:r>
              <w:rPr>
                <w:rFonts w:hint="default"/>
                <w:kern w:val="0"/>
                <w:szCs w:val="21"/>
                <w:cs/>
                <w:lang w:val="mn-MN"/>
              </w:rPr>
              <w:t xml:space="preserve">Бодит гэрээний тээвэрлэлтийн тоо хэмжээ </w:t>
            </w:r>
            <w:r>
              <w:rPr>
                <w:rFonts w:hint="eastAsia"/>
                <w:kern w:val="0"/>
                <w:szCs w:val="21"/>
              </w:rPr>
              <w:t>15</w:t>
            </w:r>
            <w:r>
              <w:rPr>
                <w:rFonts w:hint="default"/>
                <w:kern w:val="0"/>
                <w:szCs w:val="21"/>
              </w:rPr>
              <w:t>%</w:t>
            </w:r>
            <w:r>
              <w:rPr>
                <w:rFonts w:hint="default"/>
                <w:kern w:val="0"/>
                <w:szCs w:val="21"/>
                <w:cs/>
                <w:lang w:val="mn-MN"/>
              </w:rPr>
              <w:t xml:space="preserve"> өөрчлөгдөж болно. Тендэр зарлагч нь тендэрт ялагчийн нэгж үнэд үндэслэн тоо ширхэг өөрчлөлтийн цар хүрээнд тендэрийн ялагчтай гэрээ байгуулна.</w:t>
            </w:r>
          </w:p>
          <w:p>
            <w:pPr>
              <w:keepNext w:val="0"/>
              <w:keepLines w:val="0"/>
              <w:widowControl/>
              <w:suppressLineNumbers w:val="0"/>
              <w:spacing w:before="0" w:beforeAutospacing="0" w:after="0" w:afterAutospacing="0"/>
              <w:ind w:left="0" w:right="0"/>
              <w:rPr>
                <w:rFonts w:hint="default"/>
                <w:kern w:val="0"/>
                <w:szCs w:val="21"/>
              </w:rPr>
            </w:pPr>
            <w:r>
              <w:rPr>
                <w:rFonts w:hint="default"/>
                <w:kern w:val="0"/>
                <w:szCs w:val="21"/>
              </w:rPr>
              <w:t>实际合同运输数量有可能发生变更</w:t>
            </w:r>
            <w:r>
              <w:rPr>
                <w:rFonts w:hint="eastAsia"/>
                <w:kern w:val="0"/>
                <w:szCs w:val="21"/>
              </w:rPr>
              <w:t>15</w:t>
            </w:r>
            <w:r>
              <w:rPr>
                <w:rFonts w:hint="default"/>
                <w:kern w:val="0"/>
                <w:szCs w:val="21"/>
              </w:rPr>
              <w:t>%，招标人可根据中标人单价在数量变更范围内与中标人签订合同</w:t>
            </w:r>
          </w:p>
        </w:tc>
      </w:tr>
      <w:tr>
        <w:tblPrEx>
          <w:tblCellMar>
            <w:top w:w="0" w:type="dxa"/>
            <w:left w:w="108" w:type="dxa"/>
            <w:bottom w:w="0" w:type="dxa"/>
            <w:right w:w="108" w:type="dxa"/>
          </w:tblCellMar>
        </w:tblPrEx>
        <w:trPr>
          <w:trHeight w:val="175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9</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60" w:lineRule="exact"/>
              <w:ind w:left="0" w:right="0"/>
              <w:jc w:val="center"/>
              <w:rPr>
                <w:rFonts w:hint="default"/>
                <w:kern w:val="0"/>
                <w:szCs w:val="21"/>
                <w:lang w:val="mn-MN"/>
              </w:rPr>
            </w:pPr>
            <w:r>
              <w:rPr>
                <w:rFonts w:hint="default"/>
                <w:kern w:val="0"/>
                <w:szCs w:val="21"/>
                <w:cs/>
                <w:lang w:val="mn-MN"/>
              </w:rPr>
              <w:t>Тендэрийн журам</w:t>
            </w:r>
          </w:p>
          <w:p>
            <w:pPr>
              <w:keepNext w:val="0"/>
              <w:keepLines w:val="0"/>
              <w:widowControl/>
              <w:suppressLineNumbers w:val="0"/>
              <w:spacing w:before="0" w:beforeAutospacing="0" w:after="0" w:afterAutospacing="0" w:line="460" w:lineRule="exact"/>
              <w:ind w:left="0" w:right="0"/>
              <w:jc w:val="center"/>
              <w:rPr>
                <w:rFonts w:hint="default"/>
                <w:kern w:val="0"/>
                <w:szCs w:val="21"/>
              </w:rPr>
            </w:pPr>
            <w:r>
              <w:rPr>
                <w:rFonts w:hint="default"/>
                <w:kern w:val="0"/>
                <w:szCs w:val="21"/>
              </w:rPr>
              <w:t>投标规定</w:t>
            </w:r>
          </w:p>
        </w:tc>
        <w:tc>
          <w:tcPr>
            <w:tcW w:w="6397" w:type="dxa"/>
            <w:tcBorders>
              <w:top w:val="nil"/>
              <w:left w:val="nil"/>
              <w:bottom w:val="single" w:color="auto" w:sz="4" w:space="0"/>
              <w:right w:val="single" w:color="auto" w:sz="4" w:space="0"/>
            </w:tcBorders>
            <w:shd w:val="clear" w:color="auto" w:fill="auto"/>
            <w:vAlign w:val="center"/>
          </w:tcPr>
          <w:p>
            <w:pPr>
              <w:pStyle w:val="278"/>
              <w:keepNext w:val="0"/>
              <w:keepLines w:val="0"/>
              <w:numPr>
                <w:ilvl w:val="0"/>
                <w:numId w:val="0"/>
              </w:numPr>
              <w:suppressLineNumbers w:val="0"/>
              <w:spacing w:before="0" w:beforeAutospacing="0" w:after="0" w:afterAutospacing="0"/>
              <w:ind w:left="0" w:right="0"/>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1.</w:t>
            </w:r>
            <w:r>
              <w:rPr>
                <w:rFonts w:hint="default" w:ascii="Times New Roman" w:hAnsi="Times New Roman" w:cs="Times New Roman"/>
                <w:color w:val="auto"/>
                <w:sz w:val="21"/>
                <w:szCs w:val="21"/>
                <w:cs/>
                <w:lang w:val="mn-MN"/>
              </w:rPr>
              <w:t>Бүх тендер өргөдөл гаргагчид цахим тендерын баримт бичгийн шахагдсан архивыг тогтоосон хугацаанаас өмнө онлайнаар ирүүлэх ёстой. Энэ хугацааг хэтрүүлсэн аливаа илгээлтийг тендер амжилтгүй болсон гэж үзнэ..</w:t>
            </w:r>
          </w:p>
          <w:p>
            <w:pPr>
              <w:pStyle w:val="278"/>
              <w:keepNext w:val="0"/>
              <w:keepLines w:val="0"/>
              <w:numPr>
                <w:ilvl w:val="0"/>
                <w:numId w:val="0"/>
              </w:numPr>
              <w:suppressLineNumbers w:val="0"/>
              <w:spacing w:before="0" w:beforeAutospacing="0" w:after="0" w:afterAutospacing="0"/>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各投标人线上递交电子版投标文件压缩包须在截止时间前完成，未完成均视为投标无效。</w:t>
            </w:r>
          </w:p>
          <w:p>
            <w:pPr>
              <w:keepNext w:val="0"/>
              <w:keepLines w:val="0"/>
              <w:widowControl/>
              <w:suppressLineNumbers w:val="0"/>
              <w:spacing w:before="0" w:beforeAutospacing="0" w:after="0" w:afterAutospacing="0" w:line="460" w:lineRule="exact"/>
              <w:ind w:left="0" w:right="0"/>
              <w:rPr>
                <w:rFonts w:hint="default"/>
                <w:kern w:val="0"/>
                <w:szCs w:val="21"/>
              </w:rPr>
            </w:pPr>
            <w:r>
              <w:rPr>
                <w:rFonts w:hint="eastAsia"/>
                <w:szCs w:val="21"/>
              </w:rPr>
              <w:t>2.</w:t>
            </w:r>
            <w:r>
              <w:rPr>
                <w:rFonts w:hint="default"/>
                <w:szCs w:val="21"/>
                <w:cs/>
                <w:lang w:val="mn-MN"/>
              </w:rPr>
              <w:t>Тендэрт оролцогчид цахимаар тендэрийн бичиг баримтыг нэгтгэж өгөх бөгөөд нэгтгэсэн нууц үгтэй байна. Хэрвээ нэгтгэсэн нууц үг байхгүй бол бүх үр дагаварыг тендэрт оролцогч өөрөө хариуцна.</w:t>
            </w:r>
          </w:p>
          <w:p>
            <w:pPr>
              <w:keepNext w:val="0"/>
              <w:keepLines w:val="0"/>
              <w:widowControl/>
              <w:suppressLineNumbers w:val="0"/>
              <w:spacing w:before="0" w:beforeAutospacing="0" w:after="0" w:afterAutospacing="0" w:line="460" w:lineRule="exact"/>
              <w:ind w:left="0" w:right="0"/>
              <w:rPr>
                <w:rFonts w:hint="default"/>
                <w:kern w:val="0"/>
                <w:szCs w:val="21"/>
              </w:rPr>
            </w:pPr>
            <w:r>
              <w:rPr>
                <w:rFonts w:hint="default"/>
                <w:kern w:val="0"/>
                <w:szCs w:val="21"/>
              </w:rPr>
              <w:t>各投标人在线上所递交电子版投标文件压缩包，压缩包要有解压密码，无解压密码的，所有后果由投标人自负。</w:t>
            </w:r>
          </w:p>
        </w:tc>
      </w:tr>
      <w:tr>
        <w:tblPrEx>
          <w:tblCellMar>
            <w:top w:w="0" w:type="dxa"/>
            <w:left w:w="108" w:type="dxa"/>
            <w:bottom w:w="0" w:type="dxa"/>
            <w:right w:w="108" w:type="dxa"/>
          </w:tblCellMar>
        </w:tblPrEx>
        <w:trPr>
          <w:trHeight w:val="594"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kern w:val="0"/>
                <w:szCs w:val="21"/>
              </w:rPr>
            </w:pPr>
            <w:r>
              <w:rPr>
                <w:rFonts w:hint="default"/>
                <w:kern w:val="0"/>
                <w:szCs w:val="21"/>
              </w:rPr>
              <w:t>10</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jc w:val="center"/>
              <w:rPr>
                <w:rFonts w:hint="default"/>
                <w:bCs/>
                <w:kern w:val="0"/>
                <w:szCs w:val="21"/>
                <w:lang w:val="mn-MN"/>
              </w:rPr>
            </w:pPr>
            <w:r>
              <w:rPr>
                <w:rFonts w:hint="default"/>
                <w:bCs/>
                <w:kern w:val="0"/>
                <w:szCs w:val="21"/>
                <w:cs/>
                <w:lang w:val="mn-MN"/>
              </w:rPr>
              <w:t>Анхаарах зүйлс</w:t>
            </w:r>
          </w:p>
          <w:p>
            <w:pPr>
              <w:keepNext w:val="0"/>
              <w:keepLines w:val="0"/>
              <w:widowControl/>
              <w:suppressLineNumbers w:val="0"/>
              <w:spacing w:before="0" w:beforeAutospacing="0" w:after="0" w:afterAutospacing="0"/>
              <w:ind w:left="0" w:right="0"/>
              <w:jc w:val="center"/>
              <w:rPr>
                <w:rFonts w:hint="default"/>
                <w:bCs/>
                <w:kern w:val="0"/>
                <w:szCs w:val="21"/>
              </w:rPr>
            </w:pPr>
            <w:r>
              <w:rPr>
                <w:rFonts w:hint="default"/>
                <w:bCs/>
                <w:kern w:val="0"/>
                <w:szCs w:val="21"/>
              </w:rPr>
              <w:t>注意事项</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line="460" w:lineRule="exact"/>
              <w:ind w:left="0" w:right="0" w:rightChars="0" w:firstLine="422" w:firstLineChars="200"/>
              <w:rPr>
                <w:rFonts w:hint="default"/>
                <w:b/>
                <w:bCs/>
                <w:kern w:val="0"/>
                <w:szCs w:val="21"/>
                <w:cs/>
                <w:lang w:val="mn-MN"/>
              </w:rPr>
            </w:pPr>
            <w:r>
              <w:rPr>
                <w:rFonts w:hint="eastAsia" w:eastAsiaTheme="majorEastAsia"/>
                <w:b/>
                <w:bCs/>
                <w:kern w:val="0"/>
                <w:szCs w:val="21"/>
                <w:cs w:val="0"/>
                <w:lang w:val="en-US" w:eastAsia="zh-CN"/>
              </w:rPr>
              <w:t>1.</w:t>
            </w:r>
            <w:r>
              <w:rPr>
                <w:rFonts w:hint="default" w:eastAsiaTheme="majorEastAsia"/>
                <w:b/>
                <w:bCs/>
                <w:kern w:val="0"/>
                <w:szCs w:val="21"/>
                <w:cs/>
                <w:lang w:val="mn-MN"/>
              </w:rPr>
              <w:t>Тус тендэрийн үнийн саналд баяжмал машинаар тээвэрлэх зардал, НӨАТ багтсан байна.</w:t>
            </w:r>
          </w:p>
          <w:p>
            <w:pPr>
              <w:keepNext w:val="0"/>
              <w:keepLines w:val="0"/>
              <w:widowControl/>
              <w:suppressLineNumbers w:val="0"/>
              <w:spacing w:before="0" w:beforeAutospacing="0" w:after="0" w:afterAutospacing="0" w:line="460" w:lineRule="exact"/>
              <w:ind w:left="0" w:right="0" w:firstLine="422" w:firstLineChars="200"/>
              <w:rPr>
                <w:rFonts w:hint="default"/>
                <w:b/>
                <w:bCs/>
                <w:kern w:val="0"/>
                <w:szCs w:val="21"/>
                <w:cs/>
                <w:lang w:val="mn-MN"/>
              </w:rPr>
            </w:pPr>
            <w:r>
              <w:rPr>
                <w:rFonts w:hint="default"/>
                <w:b/>
                <w:bCs/>
                <w:kern w:val="0"/>
                <w:szCs w:val="21"/>
              </w:rPr>
              <w:t>本次投标报价包含</w:t>
            </w:r>
            <w:r>
              <w:rPr>
                <w:rFonts w:hint="eastAsia"/>
                <w:b/>
                <w:bCs/>
                <w:kern w:val="0"/>
                <w:szCs w:val="21"/>
              </w:rPr>
              <w:t>精矿粉汽车</w:t>
            </w:r>
            <w:r>
              <w:rPr>
                <w:rFonts w:hint="default"/>
                <w:b/>
                <w:bCs/>
                <w:kern w:val="0"/>
                <w:szCs w:val="21"/>
              </w:rPr>
              <w:t>运输费，报价含增值税。</w:t>
            </w:r>
          </w:p>
          <w:p>
            <w:pPr>
              <w:keepNext w:val="0"/>
              <w:keepLines w:val="0"/>
              <w:widowControl/>
              <w:suppressLineNumbers w:val="0"/>
              <w:spacing w:before="0" w:beforeAutospacing="0" w:after="0" w:afterAutospacing="0" w:line="460" w:lineRule="exact"/>
              <w:ind w:left="0" w:right="0" w:firstLine="422" w:firstLineChars="200"/>
              <w:rPr>
                <w:rFonts w:hint="default" w:ascii="Times New Roman" w:hAnsi="Times New Roman" w:cs="Times New Roman"/>
                <w:b/>
                <w:bCs/>
                <w:kern w:val="0"/>
                <w:szCs w:val="21"/>
              </w:rPr>
            </w:pPr>
            <w:r>
              <w:rPr>
                <w:rFonts w:hint="eastAsia"/>
                <w:b/>
                <w:bCs/>
                <w:cs w:val="0"/>
                <w:lang w:val="en-US" w:eastAsia="zh-CN"/>
              </w:rPr>
              <w:t>2.</w:t>
            </w:r>
            <w:r>
              <w:rPr>
                <w:rFonts w:hint="default"/>
                <w:b/>
                <w:bCs/>
                <w:cs/>
              </w:rPr>
              <w:t>Татвар тавьсан баримт бичигт төсөл өртгийг тогтмол нэгж үнээр (төгрөг/тонн/км) зааж болох бөгөөд тээврийн зай нь "Шинэшин" компанийн Улаан уурхайн гаалийн хяналтын бүс - Галийн голын гүүр - Хаврьгаа гаалийн боомт - Архашаат гаалийн боомтын гаалийн хяналтын бүс хүртэлх зайг тооцно。</w:t>
            </w:r>
            <w:r>
              <w:rPr>
                <w:rFonts w:hint="default"/>
                <w:b/>
                <w:bCs/>
                <w:kern w:val="0"/>
                <w:szCs w:val="21"/>
              </w:rPr>
              <w:t>报价时应按固定单价（蒙图/吨/公里），运输距离按</w:t>
            </w:r>
            <w:r>
              <w:rPr>
                <w:rFonts w:hint="eastAsia"/>
                <w:b/>
                <w:bCs/>
                <w:kern w:val="0"/>
                <w:szCs w:val="21"/>
                <w:lang w:val="en-US" w:eastAsia="zh-CN"/>
              </w:rPr>
              <w:t>新</w:t>
            </w:r>
            <w:r>
              <w:rPr>
                <w:rFonts w:hint="eastAsia" w:ascii="Times New Roman" w:hAnsi="Times New Roman" w:cs="Times New Roman"/>
                <w:b/>
                <w:bCs/>
                <w:kern w:val="0"/>
                <w:szCs w:val="21"/>
                <w:lang w:val="en-US" w:eastAsia="zh-CN"/>
              </w:rPr>
              <w:t>鑫公司乌兰矿海关监管区—噶临河桥—哈毕日嘎口岸—阿日哈沙特口岸海关监管区</w:t>
            </w:r>
            <w:r>
              <w:rPr>
                <w:rFonts w:hint="default" w:ascii="Times New Roman" w:hAnsi="Times New Roman" w:cs="Times New Roman"/>
                <w:b/>
                <w:bCs/>
                <w:kern w:val="0"/>
                <w:szCs w:val="21"/>
              </w:rPr>
              <w:t>；</w:t>
            </w:r>
          </w:p>
          <w:p>
            <w:pPr>
              <w:keepNext w:val="0"/>
              <w:keepLines w:val="0"/>
              <w:widowControl/>
              <w:numPr>
                <w:ilvl w:val="0"/>
                <w:numId w:val="0"/>
              </w:numPr>
              <w:suppressLineNumbers w:val="0"/>
              <w:spacing w:before="0" w:beforeAutospacing="0" w:after="0" w:afterAutospacing="0" w:line="460" w:lineRule="exact"/>
              <w:ind w:left="0" w:right="0" w:rightChars="0" w:firstLine="422" w:firstLineChars="200"/>
              <w:rPr>
                <w:rFonts w:hint="default"/>
                <w:b/>
                <w:bCs/>
                <w:kern w:val="0"/>
                <w:szCs w:val="21"/>
                <w:lang w:val="mn-MN"/>
              </w:rPr>
            </w:pPr>
            <w:r>
              <w:rPr>
                <w:rFonts w:hint="eastAsia"/>
                <w:b/>
                <w:bCs/>
                <w:kern w:val="0"/>
                <w:szCs w:val="21"/>
                <w:cs w:val="0"/>
                <w:lang w:val="en-US" w:eastAsia="zh-CN"/>
              </w:rPr>
              <w:t>3.</w:t>
            </w:r>
            <w:r>
              <w:rPr>
                <w:rFonts w:hint="default"/>
                <w:b/>
                <w:bCs/>
                <w:kern w:val="0"/>
                <w:szCs w:val="21"/>
                <w:cs/>
                <w:lang w:val="mn-MN"/>
              </w:rPr>
              <w:t>Тендэрт оролцогч нь Хав</w:t>
            </w:r>
            <w:r>
              <w:rPr>
                <w:rFonts w:hint="default"/>
                <w:b/>
                <w:bCs/>
                <w:kern w:val="0"/>
                <w:sz w:val="24"/>
                <w:cs/>
                <w:lang w:val="mn-MN"/>
              </w:rPr>
              <w:t>с</w:t>
            </w:r>
            <w:r>
              <w:rPr>
                <w:rFonts w:hint="default"/>
                <w:b/>
                <w:bCs/>
                <w:kern w:val="0"/>
                <w:szCs w:val="21"/>
                <w:cs/>
                <w:lang w:val="mn-MN"/>
              </w:rPr>
              <w:t xml:space="preserve">ралт 1-4 дэх үнийн саналын хуудасын дагуу үнийн саналаа бөглөнө. Хавсралт 1-4 дэх үнийн саналын хуудас боловсруулж, үнийн саналын хуудасын загвар болон агуулгыг өөрчилж болохгүй </w:t>
            </w:r>
            <w:r>
              <w:rPr>
                <w:rFonts w:hint="default"/>
                <w:b/>
                <w:bCs/>
                <w:kern w:val="0"/>
                <w:szCs w:val="21"/>
                <w:lang w:val="en-GB"/>
              </w:rPr>
              <w:t>(</w:t>
            </w:r>
            <w:r>
              <w:rPr>
                <w:rFonts w:hint="default"/>
                <w:b/>
                <w:bCs/>
                <w:kern w:val="0"/>
                <w:szCs w:val="21"/>
                <w:cs/>
                <w:lang w:val="mn-MN"/>
              </w:rPr>
              <w:t xml:space="preserve"> тайлбар хэсэг багтана.</w:t>
            </w:r>
            <w:r>
              <w:rPr>
                <w:rFonts w:hint="default"/>
                <w:b/>
                <w:bCs/>
                <w:kern w:val="0"/>
                <w:szCs w:val="21"/>
                <w:lang w:val="en-GB"/>
              </w:rPr>
              <w:t>)</w:t>
            </w:r>
            <w:r>
              <w:rPr>
                <w:rFonts w:hint="default"/>
                <w:b/>
                <w:bCs/>
                <w:kern w:val="0"/>
                <w:szCs w:val="21"/>
                <w:cs/>
                <w:lang w:val="mn-MN"/>
              </w:rPr>
              <w:t xml:space="preserve"> Хэрвээ нэмэлт тайлбар бичих бол “Үнийн саналын тайлбар”-т бичнэ.</w:t>
            </w:r>
          </w:p>
          <w:p>
            <w:pPr>
              <w:keepNext w:val="0"/>
              <w:keepLines w:val="0"/>
              <w:widowControl/>
              <w:suppressLineNumbers w:val="0"/>
              <w:spacing w:before="0" w:beforeAutospacing="0" w:after="0" w:afterAutospacing="0" w:line="460" w:lineRule="exact"/>
              <w:ind w:left="0" w:right="0" w:firstLine="420" w:firstLineChars="200"/>
              <w:rPr>
                <w:rFonts w:hint="default"/>
                <w:kern w:val="0"/>
                <w:szCs w:val="21"/>
              </w:rPr>
            </w:pPr>
            <w:r>
              <w:rPr>
                <w:rFonts w:hint="default"/>
                <w:kern w:val="0"/>
                <w:szCs w:val="21"/>
              </w:rPr>
              <w:t>投标人需严格按照附件1-4的开标一览表格式填报价格，请将附件1-4内制作开标一览表，开标一览表格式及内容均不可以修改（包括备注），如有补充说明请填写在“报价备注”列中。</w:t>
            </w:r>
          </w:p>
          <w:p>
            <w:pPr>
              <w:keepNext w:val="0"/>
              <w:keepLines w:val="0"/>
              <w:widowControl/>
              <w:suppressLineNumbers w:val="0"/>
              <w:spacing w:before="0" w:beforeAutospacing="0" w:after="0" w:afterAutospacing="0" w:line="460" w:lineRule="exact"/>
              <w:ind w:left="0" w:right="0" w:firstLine="420" w:firstLineChars="200"/>
              <w:rPr>
                <w:rFonts w:hint="default"/>
                <w:kern w:val="0"/>
                <w:szCs w:val="21"/>
                <w:cs/>
                <w:lang w:val="mn-MN"/>
              </w:rPr>
            </w:pPr>
            <w:r>
              <w:rPr>
                <w:rFonts w:hint="eastAsia"/>
                <w:kern w:val="0"/>
                <w:szCs w:val="21"/>
                <w:cs w:val="0"/>
                <w:lang w:val="en-US" w:eastAsia="zh-CN"/>
              </w:rPr>
              <w:t>4.</w:t>
            </w:r>
            <w:r>
              <w:rPr>
                <w:rFonts w:hint="default"/>
                <w:kern w:val="0"/>
                <w:szCs w:val="21"/>
                <w:cs/>
                <w:lang w:val="mn-MN"/>
              </w:rPr>
              <w:t>Тендэрт оролцогчийн бүрэн эрхт төлөөлөгч нь тендэрт оролцогчийн хууль ёсны төлөөлөгчийн гарын үсэг тамга бүхий итгэмжилсэн бичигтэй байна.</w:t>
            </w:r>
          </w:p>
          <w:p>
            <w:pPr>
              <w:keepNext w:val="0"/>
              <w:keepLines w:val="0"/>
              <w:widowControl/>
              <w:suppressLineNumbers w:val="0"/>
              <w:spacing w:before="0" w:beforeAutospacing="0" w:after="0" w:afterAutospacing="0" w:line="460" w:lineRule="exact"/>
              <w:ind w:left="0" w:right="0" w:firstLine="420" w:firstLineChars="200"/>
              <w:rPr>
                <w:rFonts w:hint="default"/>
                <w:kern w:val="0"/>
                <w:szCs w:val="21"/>
              </w:rPr>
            </w:pPr>
            <w:r>
              <w:rPr>
                <w:rFonts w:hint="default"/>
                <w:kern w:val="0"/>
                <w:szCs w:val="21"/>
              </w:rPr>
              <w:t>投标人全权代表必须具有投标人法定代表人签字盖章的授权书。</w:t>
            </w:r>
          </w:p>
          <w:p>
            <w:pPr>
              <w:keepNext w:val="0"/>
              <w:keepLines w:val="0"/>
              <w:widowControl/>
              <w:numPr>
                <w:ilvl w:val="0"/>
                <w:numId w:val="0"/>
              </w:numPr>
              <w:suppressLineNumbers w:val="0"/>
              <w:spacing w:before="0" w:beforeAutospacing="0" w:after="0" w:afterAutospacing="0" w:line="460" w:lineRule="exact"/>
              <w:ind w:left="0" w:right="0" w:rightChars="0" w:firstLine="420" w:firstLineChars="200"/>
              <w:rPr>
                <w:rFonts w:hint="default"/>
                <w:kern w:val="0"/>
                <w:szCs w:val="21"/>
                <w:lang w:val="mn-MN"/>
              </w:rPr>
            </w:pPr>
            <w:r>
              <w:rPr>
                <w:rFonts w:hint="eastAsia"/>
                <w:kern w:val="0"/>
                <w:szCs w:val="21"/>
                <w:cs w:val="0"/>
                <w:lang w:val="en-US" w:eastAsia="zh-CN"/>
              </w:rPr>
              <w:t>5.</w:t>
            </w:r>
            <w:r>
              <w:rPr>
                <w:rFonts w:hint="default"/>
                <w:kern w:val="0"/>
                <w:szCs w:val="21"/>
                <w:cs/>
                <w:lang w:val="mn-MN"/>
              </w:rPr>
              <w:t>Тендэрт оролцогч байгууллага 3-с бага байвал тус удаагийн тендэрийг хүчингүйд тооцно.</w:t>
            </w:r>
          </w:p>
          <w:p>
            <w:pPr>
              <w:keepNext w:val="0"/>
              <w:keepLines w:val="0"/>
              <w:widowControl/>
              <w:suppressLineNumbers w:val="0"/>
              <w:spacing w:before="0" w:beforeAutospacing="0" w:after="0" w:afterAutospacing="0" w:line="460" w:lineRule="exact"/>
              <w:ind w:left="480" w:right="0"/>
              <w:rPr>
                <w:rFonts w:hint="default"/>
                <w:kern w:val="0"/>
                <w:szCs w:val="21"/>
              </w:rPr>
            </w:pPr>
            <w:r>
              <w:rPr>
                <w:rFonts w:hint="default"/>
                <w:kern w:val="0"/>
                <w:szCs w:val="21"/>
              </w:rPr>
              <w:t>投标人少于3家的，本次投标将做流标处理。</w:t>
            </w:r>
          </w:p>
        </w:tc>
      </w:tr>
      <w:tr>
        <w:tblPrEx>
          <w:tblCellMar>
            <w:top w:w="0" w:type="dxa"/>
            <w:left w:w="108" w:type="dxa"/>
            <w:bottom w:w="0" w:type="dxa"/>
            <w:right w:w="108" w:type="dxa"/>
          </w:tblCellMar>
        </w:tblPrEx>
        <w:trPr>
          <w:trHeight w:val="897"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6" w:firstLine="630" w:firstLineChars="300"/>
              <w:rPr>
                <w:rFonts w:hint="default"/>
                <w:kern w:val="0"/>
                <w:szCs w:val="21"/>
              </w:rPr>
            </w:pPr>
            <w:r>
              <w:rPr>
                <w:rFonts w:hint="default"/>
                <w:kern w:val="0"/>
                <w:szCs w:val="21"/>
              </w:rPr>
              <w:t>11</w:t>
            </w:r>
          </w:p>
        </w:tc>
        <w:tc>
          <w:tcPr>
            <w:tcW w:w="22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jc w:val="center"/>
              <w:rPr>
                <w:rFonts w:hint="default"/>
                <w:bCs/>
                <w:kern w:val="0"/>
                <w:szCs w:val="21"/>
                <w:lang w:val="mn-MN"/>
              </w:rPr>
            </w:pPr>
            <w:r>
              <w:rPr>
                <w:rFonts w:hint="default"/>
                <w:bCs/>
                <w:kern w:val="0"/>
                <w:szCs w:val="21"/>
                <w:cs/>
                <w:lang w:val="mn-MN"/>
              </w:rPr>
              <w:t>Шаардлага хангасан тендэрт оролцогч</w:t>
            </w:r>
          </w:p>
          <w:p>
            <w:pPr>
              <w:keepNext w:val="0"/>
              <w:keepLines w:val="0"/>
              <w:widowControl/>
              <w:suppressLineNumbers w:val="0"/>
              <w:spacing w:before="0" w:beforeAutospacing="0" w:after="0" w:afterAutospacing="0"/>
              <w:ind w:left="0" w:right="0"/>
              <w:jc w:val="center"/>
              <w:rPr>
                <w:rFonts w:hint="default"/>
                <w:bCs/>
                <w:kern w:val="0"/>
                <w:szCs w:val="21"/>
              </w:rPr>
            </w:pPr>
            <w:r>
              <w:rPr>
                <w:rFonts w:hint="default"/>
                <w:bCs/>
                <w:kern w:val="0"/>
                <w:szCs w:val="21"/>
              </w:rPr>
              <w:t>合格的投标人</w:t>
            </w:r>
          </w:p>
        </w:tc>
        <w:tc>
          <w:tcPr>
            <w:tcW w:w="63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60" w:lineRule="exact"/>
              <w:ind w:left="0" w:right="0" w:firstLine="420" w:firstLineChars="200"/>
              <w:rPr>
                <w:rFonts w:hint="default"/>
                <w:kern w:val="0"/>
                <w:szCs w:val="21"/>
                <w:lang w:val="mn-MN"/>
              </w:rPr>
            </w:pPr>
            <w:r>
              <w:rPr>
                <w:rFonts w:hint="default"/>
                <w:kern w:val="0"/>
                <w:szCs w:val="21"/>
                <w:cs/>
                <w:lang w:val="mn-MN"/>
              </w:rPr>
              <w:t>Шаардлага хангасан тендэрт оролцогч нь тендэр зарлагчийн зар дахь “тендэрт оролцогчийн мэргэшилийн шаардлага” хангасан байна. Тендэр зарлагч нь шаардлага хангаагүй тендэрт оролцогчийн бичиг баримтыг хүлээн авахаас татгалзах эрхтэй.</w:t>
            </w:r>
          </w:p>
          <w:p>
            <w:pPr>
              <w:keepNext w:val="0"/>
              <w:keepLines w:val="0"/>
              <w:widowControl/>
              <w:suppressLineNumbers w:val="0"/>
              <w:spacing w:before="0" w:beforeAutospacing="0" w:after="0" w:afterAutospacing="0" w:line="460" w:lineRule="exact"/>
              <w:ind w:left="0" w:right="0" w:firstLine="420" w:firstLineChars="200"/>
              <w:rPr>
                <w:rFonts w:hint="default"/>
                <w:kern w:val="0"/>
                <w:szCs w:val="21"/>
              </w:rPr>
            </w:pPr>
            <w:r>
              <w:rPr>
                <w:rFonts w:hint="default"/>
                <w:kern w:val="0"/>
                <w:szCs w:val="21"/>
              </w:rPr>
              <w:t>合格的投标人须满足招标公告内《投标人资格要求》，招标人有权拒绝接受不合格的投标人所递交的投标文件。</w:t>
            </w:r>
          </w:p>
        </w:tc>
      </w:tr>
      <w:tr>
        <w:tblPrEx>
          <w:tblCellMar>
            <w:top w:w="0" w:type="dxa"/>
            <w:left w:w="108" w:type="dxa"/>
            <w:bottom w:w="0" w:type="dxa"/>
            <w:right w:w="108" w:type="dxa"/>
          </w:tblCellMar>
        </w:tblPrEx>
        <w:trPr>
          <w:trHeight w:val="2042"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6" w:firstLine="630" w:firstLineChars="300"/>
              <w:rPr>
                <w:rFonts w:hint="default" w:eastAsia="宋体"/>
                <w:kern w:val="0"/>
                <w:szCs w:val="21"/>
                <w:lang w:val="en-US" w:eastAsia="zh-CN"/>
              </w:rPr>
            </w:pPr>
            <w:r>
              <w:rPr>
                <w:rFonts w:hint="eastAsia"/>
                <w:kern w:val="0"/>
                <w:szCs w:val="21"/>
                <w:lang w:val="en-US" w:eastAsia="zh-CN"/>
              </w:rPr>
              <w:t>12</w:t>
            </w:r>
          </w:p>
        </w:tc>
        <w:tc>
          <w:tcPr>
            <w:tcW w:w="22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
                <w:sz w:val="24"/>
                <w:lang w:val="mn-MN"/>
              </w:rPr>
            </w:pPr>
            <w:r>
              <w:rPr>
                <w:rFonts w:hint="default" w:eastAsia="宋体"/>
                <w:bCs/>
                <w:kern w:val="0"/>
                <w:szCs w:val="21"/>
                <w:cs/>
                <w:lang w:val="mn-MN"/>
              </w:rPr>
              <w:t>Тендер зарлах</w:t>
            </w:r>
            <w:r>
              <w:rPr>
                <w:rFonts w:hint="default" w:eastAsia="仿宋"/>
                <w:sz w:val="24"/>
                <w:lang w:val="mn-MN"/>
              </w:rPr>
              <w:t xml:space="preserve"> </w:t>
            </w:r>
          </w:p>
          <w:p>
            <w:pPr>
              <w:keepNext w:val="0"/>
              <w:keepLines w:val="0"/>
              <w:widowControl/>
              <w:suppressLineNumbers w:val="0"/>
              <w:spacing w:before="0" w:beforeAutospacing="0" w:after="0" w:afterAutospacing="0"/>
              <w:ind w:left="0" w:right="0"/>
              <w:jc w:val="center"/>
              <w:rPr>
                <w:rFonts w:hint="default"/>
                <w:bCs/>
                <w:kern w:val="0"/>
                <w:szCs w:val="21"/>
              </w:rPr>
            </w:pPr>
            <w:r>
              <w:rPr>
                <w:rFonts w:hint="eastAsia" w:eastAsia="宋体"/>
                <w:bCs/>
                <w:kern w:val="0"/>
                <w:szCs w:val="21"/>
              </w:rPr>
              <w:t>发投招标公告</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60" w:lineRule="exact"/>
              <w:ind w:left="0" w:right="0" w:firstLine="480" w:firstLineChars="200"/>
              <w:rPr>
                <w:rFonts w:hint="default" w:ascii="Times New Roman" w:hAnsi="Times New Roman" w:eastAsia="仿宋" w:cs="Times New Roman"/>
                <w:sz w:val="24"/>
                <w:lang w:val="mn-MN"/>
              </w:rPr>
            </w:pPr>
            <w:r>
              <w:rPr>
                <w:rFonts w:hint="default" w:ascii="Times New Roman" w:hAnsi="Times New Roman" w:eastAsia="仿宋" w:cs="Times New Roman"/>
                <w:sz w:val="24"/>
                <w:lang w:val="mn-MN"/>
              </w:rPr>
              <w:t>Шинь Шинь компанийн тендерийн вебсайт</w:t>
            </w:r>
          </w:p>
          <w:p>
            <w:pPr>
              <w:keepNext w:val="0"/>
              <w:keepLines w:val="0"/>
              <w:widowControl/>
              <w:suppressLineNumbers w:val="0"/>
              <w:spacing w:before="0" w:beforeAutospacing="0" w:after="0" w:afterAutospacing="0" w:line="460" w:lineRule="exact"/>
              <w:ind w:left="0" w:right="0" w:firstLine="480" w:firstLineChars="200"/>
              <w:rPr>
                <w:rFonts w:hint="default" w:ascii="Times New Roman" w:hAnsi="Times New Roman" w:eastAsia="仿宋" w:cs="Times New Roman"/>
                <w:sz w:val="24"/>
                <w:lang w:val="en-US" w:eastAsia="zh-CN"/>
              </w:rPr>
            </w:pPr>
            <w:r>
              <w:rPr>
                <w:rFonts w:hint="eastAsia" w:eastAsia="仿宋" w:cs="Times New Roman"/>
                <w:sz w:val="24"/>
                <w:lang w:val="en-US" w:eastAsia="zh-CN"/>
              </w:rPr>
              <w:t>新鑫公司招标网站</w:t>
            </w:r>
          </w:p>
        </w:tc>
      </w:tr>
    </w:tbl>
    <w:p>
      <w:pPr>
        <w:tabs>
          <w:tab w:val="right" w:leader="middleDot" w:pos="8640"/>
        </w:tabs>
        <w:spacing w:line="360" w:lineRule="auto"/>
        <w:ind w:left="480" w:firstLine="843"/>
        <w:rPr>
          <w:bCs/>
          <w:szCs w:val="21"/>
        </w:rPr>
      </w:pPr>
    </w:p>
    <w:p>
      <w:pPr>
        <w:pStyle w:val="4"/>
        <w:numPr>
          <w:ilvl w:val="0"/>
          <w:numId w:val="14"/>
        </w:numPr>
        <w:spacing w:line="360" w:lineRule="auto"/>
        <w:ind w:left="900" w:firstLine="840"/>
        <w:rPr>
          <w:rFonts w:ascii="Times New Roman" w:hAnsi="Times New Roman" w:eastAsia="宋体" w:cs="Times New Roman"/>
          <w:bCs/>
          <w:sz w:val="21"/>
          <w:szCs w:val="21"/>
        </w:rPr>
      </w:pPr>
      <w:bookmarkStart w:id="4" w:name="_Toc183017238"/>
      <w:bookmarkStart w:id="5" w:name="_Toc461108833"/>
      <w:bookmarkStart w:id="6" w:name="_Toc18199"/>
      <w:r>
        <w:rPr>
          <w:rFonts w:ascii="Times New Roman" w:hAnsi="Times New Roman" w:eastAsia="宋体" w:cs="Times New Roman"/>
          <w:bCs/>
          <w:sz w:val="21"/>
          <w:szCs w:val="21"/>
          <w:cs/>
          <w:lang w:val="mn-MN"/>
        </w:rPr>
        <w:t>Хэрэглэх цар хүрээ</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适用范围</w:t>
      </w:r>
      <w:bookmarkEnd w:id="4"/>
      <w:bookmarkEnd w:id="5"/>
      <w:bookmarkEnd w:id="6"/>
    </w:p>
    <w:p>
      <w:pPr>
        <w:ind w:left="480"/>
        <w:rPr>
          <w:szCs w:val="21"/>
          <w:lang w:val="mn-MN"/>
        </w:rPr>
      </w:pPr>
      <w:r>
        <w:rPr>
          <w:szCs w:val="21"/>
          <w:cs/>
          <w:lang w:val="mn-MN"/>
        </w:rPr>
        <w:t>Энэхүү тендэрийн баримт бичиг нь зөвхөн энэ тендэрт дурьдсан төслийн барааг тээвэрлэх болно.</w:t>
      </w:r>
    </w:p>
    <w:p>
      <w:pPr>
        <w:widowControl/>
        <w:spacing w:line="360" w:lineRule="auto"/>
        <w:ind w:left="480" w:firstLine="420" w:firstLineChars="200"/>
        <w:rPr>
          <w:bCs/>
          <w:szCs w:val="21"/>
        </w:rPr>
      </w:pPr>
      <w:r>
        <w:rPr>
          <w:bCs/>
          <w:szCs w:val="21"/>
        </w:rPr>
        <w:t>本招标文件仅适用于本招标中所叙述项目的货物运输。</w:t>
      </w:r>
    </w:p>
    <w:p>
      <w:pPr>
        <w:pStyle w:val="4"/>
        <w:numPr>
          <w:ilvl w:val="0"/>
          <w:numId w:val="14"/>
        </w:numPr>
        <w:spacing w:line="360" w:lineRule="auto"/>
        <w:ind w:left="900" w:firstLine="840"/>
        <w:rPr>
          <w:rFonts w:ascii="Times New Roman" w:hAnsi="Times New Roman" w:eastAsia="宋体" w:cs="Times New Roman"/>
          <w:bCs/>
          <w:sz w:val="21"/>
          <w:szCs w:val="21"/>
        </w:rPr>
      </w:pPr>
      <w:bookmarkStart w:id="7" w:name="_Toc183017239"/>
      <w:bookmarkStart w:id="8" w:name="_Toc461108834"/>
      <w:bookmarkStart w:id="9" w:name="_Toc27470"/>
      <w:r>
        <w:rPr>
          <w:rFonts w:ascii="Times New Roman" w:hAnsi="Times New Roman" w:eastAsia="宋体" w:cs="Times New Roman"/>
          <w:bCs/>
          <w:sz w:val="21"/>
          <w:szCs w:val="21"/>
          <w:cs/>
          <w:lang w:val="mn-MN"/>
        </w:rPr>
        <w:t>Худалдан авах байгууллагын бүрэлдэхүүн</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采购组织机构</w:t>
      </w:r>
      <w:bookmarkEnd w:id="7"/>
      <w:bookmarkEnd w:id="8"/>
      <w:bookmarkEnd w:id="9"/>
    </w:p>
    <w:p>
      <w:pPr>
        <w:widowControl/>
        <w:spacing w:line="360" w:lineRule="auto"/>
        <w:ind w:left="480" w:firstLine="420" w:firstLineChars="200"/>
        <w:rPr>
          <w:szCs w:val="21"/>
          <w:lang w:val="mn-MN"/>
        </w:rPr>
      </w:pPr>
      <w:r>
        <w:rPr>
          <w:szCs w:val="21"/>
        </w:rPr>
        <w:t>（1）</w:t>
      </w:r>
      <w:r>
        <w:rPr>
          <w:szCs w:val="21"/>
          <w:cs/>
          <w:lang w:val="mn-MN"/>
        </w:rPr>
        <w:t>Зохион байгуулагч байгууллага: Шинь Шинь ХХК</w:t>
      </w:r>
    </w:p>
    <w:p>
      <w:pPr>
        <w:widowControl/>
        <w:spacing w:line="360" w:lineRule="auto"/>
        <w:ind w:left="480" w:firstLine="420" w:firstLineChars="200"/>
        <w:rPr>
          <w:bCs/>
          <w:szCs w:val="21"/>
        </w:rPr>
      </w:pPr>
      <w:r>
        <w:rPr>
          <w:bCs/>
          <w:szCs w:val="21"/>
        </w:rPr>
        <w:t>组织单位：新鑫有限责任公司</w:t>
      </w:r>
    </w:p>
    <w:p>
      <w:pPr>
        <w:widowControl/>
        <w:spacing w:line="360" w:lineRule="auto"/>
        <w:ind w:left="480" w:firstLine="420" w:firstLineChars="200"/>
        <w:rPr>
          <w:bCs/>
          <w:szCs w:val="21"/>
          <w:lang w:val="mn-MN"/>
        </w:rPr>
      </w:pPr>
      <w:r>
        <w:rPr>
          <w:bCs/>
          <w:szCs w:val="21"/>
        </w:rPr>
        <w:t>（2）</w:t>
      </w:r>
      <w:r>
        <w:rPr>
          <w:bCs/>
          <w:szCs w:val="21"/>
          <w:cs/>
          <w:lang w:val="mn-MN"/>
        </w:rPr>
        <w:t xml:space="preserve">Төслийн эзэмшигч: </w:t>
      </w:r>
      <w:r>
        <w:rPr>
          <w:szCs w:val="21"/>
          <w:cs/>
          <w:lang w:val="mn-MN"/>
        </w:rPr>
        <w:t>Шинь Шинь ХХК</w:t>
      </w:r>
    </w:p>
    <w:p>
      <w:pPr>
        <w:widowControl/>
        <w:spacing w:line="360" w:lineRule="auto"/>
        <w:ind w:left="480" w:firstLine="420" w:firstLineChars="200"/>
        <w:rPr>
          <w:bCs/>
          <w:szCs w:val="21"/>
        </w:rPr>
      </w:pPr>
      <w:r>
        <w:rPr>
          <w:bCs/>
          <w:szCs w:val="21"/>
        </w:rPr>
        <w:t>项目业主：</w:t>
      </w:r>
      <w:bookmarkStart w:id="10" w:name="_Hlk182746578"/>
      <w:r>
        <w:rPr>
          <w:bCs/>
          <w:szCs w:val="21"/>
        </w:rPr>
        <w:t>新鑫有限责任公司</w:t>
      </w:r>
      <w:bookmarkEnd w:id="10"/>
    </w:p>
    <w:p>
      <w:pPr>
        <w:widowControl/>
        <w:spacing w:line="360" w:lineRule="auto"/>
        <w:ind w:left="480" w:firstLine="420" w:firstLineChars="200"/>
        <w:rPr>
          <w:bCs/>
          <w:szCs w:val="21"/>
          <w:lang w:val="mn-MN"/>
        </w:rPr>
      </w:pPr>
      <w:r>
        <w:rPr>
          <w:bCs/>
          <w:szCs w:val="21"/>
        </w:rPr>
        <w:t>（3）</w:t>
      </w:r>
      <w:r>
        <w:rPr>
          <w:bCs/>
          <w:szCs w:val="21"/>
          <w:cs/>
          <w:lang w:val="mn-MN"/>
        </w:rPr>
        <w:t xml:space="preserve">Тендэр зарлагч: </w:t>
      </w:r>
      <w:r>
        <w:rPr>
          <w:szCs w:val="21"/>
          <w:cs/>
          <w:lang w:val="mn-MN"/>
        </w:rPr>
        <w:t>Шинь Шинь ХХК</w:t>
      </w:r>
    </w:p>
    <w:p>
      <w:pPr>
        <w:widowControl/>
        <w:spacing w:line="360" w:lineRule="auto"/>
        <w:ind w:left="480" w:firstLine="420" w:firstLineChars="200"/>
        <w:rPr>
          <w:bCs/>
          <w:szCs w:val="21"/>
        </w:rPr>
      </w:pPr>
      <w:r>
        <w:rPr>
          <w:bCs/>
          <w:szCs w:val="21"/>
        </w:rPr>
        <w:t>招 标 人：新鑫有限责任公司</w:t>
      </w:r>
    </w:p>
    <w:p>
      <w:pPr>
        <w:pStyle w:val="4"/>
        <w:numPr>
          <w:ilvl w:val="0"/>
          <w:numId w:val="14"/>
        </w:numPr>
        <w:spacing w:line="360" w:lineRule="auto"/>
        <w:ind w:left="900" w:firstLine="840"/>
        <w:rPr>
          <w:rFonts w:ascii="Times New Roman" w:hAnsi="Times New Roman" w:eastAsia="宋体" w:cs="Times New Roman"/>
          <w:bCs/>
          <w:sz w:val="21"/>
          <w:szCs w:val="21"/>
          <w:cs/>
          <w:lang w:val="mn-MN"/>
        </w:rPr>
      </w:pPr>
      <w:bookmarkStart w:id="11" w:name="_Toc461108835"/>
      <w:bookmarkStart w:id="12" w:name="_Toc1284"/>
      <w:bookmarkStart w:id="13" w:name="_Toc183017240"/>
      <w:r>
        <w:rPr>
          <w:rFonts w:ascii="Times New Roman" w:hAnsi="Times New Roman" w:cs="Times New Roman" w:eastAsiaTheme="majorEastAsia"/>
          <w:bCs/>
          <w:sz w:val="21"/>
          <w:szCs w:val="21"/>
          <w:cs/>
          <w:lang w:val="mn-MN"/>
        </w:rPr>
        <w:t>Шаардлага хангасан тендэрт оролцогч</w:t>
      </w:r>
    </w:p>
    <w:p>
      <w:pPr>
        <w:pStyle w:val="4"/>
        <w:numPr>
          <w:ilvl w:val="0"/>
          <w:numId w:val="0"/>
        </w:numPr>
        <w:spacing w:line="360" w:lineRule="auto"/>
        <w:ind w:firstLine="422" w:firstLineChars="200"/>
      </w:pPr>
      <w:r>
        <w:rPr>
          <w:rFonts w:ascii="Times New Roman" w:hAnsi="Times New Roman" w:eastAsia="宋体" w:cs="Times New Roman"/>
          <w:bCs/>
          <w:sz w:val="21"/>
          <w:szCs w:val="21"/>
        </w:rPr>
        <w:t>合格的投标人</w:t>
      </w:r>
      <w:bookmarkEnd w:id="11"/>
      <w:bookmarkEnd w:id="12"/>
      <w:bookmarkEnd w:id="13"/>
    </w:p>
    <w:p>
      <w:pPr>
        <w:widowControl/>
        <w:overflowPunct w:val="0"/>
        <w:adjustRightInd w:val="0"/>
        <w:snapToGrid w:val="0"/>
        <w:spacing w:line="360" w:lineRule="auto"/>
        <w:ind w:left="480" w:firstLine="420" w:firstLineChars="200"/>
        <w:textAlignment w:val="baseline"/>
        <w:rPr>
          <w:kern w:val="0"/>
          <w:szCs w:val="21"/>
          <w:lang w:val="mn-MN"/>
        </w:rPr>
      </w:pPr>
      <w:bookmarkStart w:id="14" w:name="_Toc461108836"/>
      <w:r>
        <w:rPr>
          <w:kern w:val="0"/>
          <w:szCs w:val="21"/>
          <w:lang w:val="mn-MN"/>
        </w:rPr>
        <w:t xml:space="preserve">（1）Монгол улсын Дорнод аймагт бүртгэлтэй аж ахуйн нэгж байх ба </w:t>
      </w:r>
      <w:r>
        <w:rPr>
          <w:kern w:val="0"/>
          <w:szCs w:val="21"/>
          <w:cs/>
          <w:lang w:val="mn-MN"/>
        </w:rPr>
        <w:t>хүчинтэй улсын бүртгэлийн гэрчилгээ,татварын бүртгэлийн гэрчилгээ болон авто тээврийн зөвшөөрөлтэй байх.</w:t>
      </w:r>
    </w:p>
    <w:p>
      <w:pPr>
        <w:ind w:firstLine="1050" w:firstLineChars="500"/>
      </w:pPr>
      <w:r>
        <w:t>1、在蒙古国东方省境内注册的运输企业，持有有效的营业执照、包含且不限于营业执照、税务登记证、道路运输许可证等；</w:t>
      </w:r>
    </w:p>
    <w:p>
      <w:pPr>
        <w:widowControl/>
        <w:overflowPunct w:val="0"/>
        <w:adjustRightInd w:val="0"/>
        <w:snapToGrid w:val="0"/>
        <w:spacing w:line="360" w:lineRule="auto"/>
        <w:ind w:firstLine="840" w:firstLineChars="400"/>
        <w:textAlignment w:val="baseline"/>
        <w:rPr>
          <w:kern w:val="0"/>
          <w:szCs w:val="21"/>
          <w:lang w:val="mn-MN"/>
        </w:rPr>
      </w:pPr>
      <w:r>
        <w:rPr>
          <w:kern w:val="0"/>
          <w:szCs w:val="21"/>
          <w:lang w:val="mn-MN"/>
        </w:rPr>
        <w:t>（2）</w:t>
      </w:r>
      <w:r>
        <w:rPr>
          <w:kern w:val="0"/>
          <w:szCs w:val="21"/>
          <w:cs/>
          <w:lang w:val="mn-MN"/>
        </w:rPr>
        <w:t xml:space="preserve">Тээвэрлэлтэнд явах машин нь </w:t>
      </w:r>
      <w:r>
        <w:rPr>
          <w:kern w:val="0"/>
          <w:szCs w:val="21"/>
        </w:rPr>
        <w:t>(</w:t>
      </w:r>
      <w:r>
        <w:rPr>
          <w:kern w:val="0"/>
          <w:szCs w:val="21"/>
          <w:lang w:val="mn-MN"/>
        </w:rPr>
        <w:t xml:space="preserve">44 тн даацтай </w:t>
      </w:r>
      <w:r>
        <w:rPr>
          <w:kern w:val="0"/>
          <w:szCs w:val="21"/>
        </w:rPr>
        <w:t>)</w:t>
      </w:r>
      <w:r>
        <w:rPr>
          <w:kern w:val="0"/>
          <w:szCs w:val="21"/>
          <w:lang w:val="mn-MN"/>
        </w:rPr>
        <w:t xml:space="preserve"> </w:t>
      </w:r>
      <w:r>
        <w:rPr>
          <w:rFonts w:hint="eastAsia"/>
          <w:kern w:val="0"/>
          <w:szCs w:val="21"/>
          <w:lang w:val="en-US" w:eastAsia="zh-CN"/>
        </w:rPr>
        <w:t>5</w:t>
      </w:r>
      <w:r>
        <w:rPr>
          <w:kern w:val="0"/>
          <w:szCs w:val="21"/>
        </w:rPr>
        <w:t>-</w:t>
      </w:r>
      <w:r>
        <w:rPr>
          <w:kern w:val="0"/>
          <w:szCs w:val="21"/>
          <w:cs/>
          <w:lang w:val="mn-MN"/>
        </w:rPr>
        <w:t xml:space="preserve">с багагүй байх ба тээврийн хэрэгсэл нь </w:t>
      </w:r>
      <w:r>
        <w:rPr>
          <w:szCs w:val="21"/>
        </w:rPr>
        <w:t>“</w:t>
      </w:r>
      <w:r>
        <w:rPr>
          <w:kern w:val="0"/>
          <w:szCs w:val="21"/>
          <w:cs/>
          <w:lang w:val="mn-MN"/>
        </w:rPr>
        <w:t xml:space="preserve">тээвэрлэх тоног төхөөрөмж техникийн журам </w:t>
      </w:r>
      <w:r>
        <w:rPr>
          <w:szCs w:val="21"/>
        </w:rPr>
        <w:t xml:space="preserve">” MNS4598:2020 </w:t>
      </w:r>
      <w:r>
        <w:rPr>
          <w:szCs w:val="21"/>
          <w:cs/>
          <w:lang w:val="mn-MN"/>
        </w:rPr>
        <w:t>шаардлага хангасан байна.</w:t>
      </w:r>
    </w:p>
    <w:p>
      <w:pPr>
        <w:ind w:firstLine="1050" w:firstLineChars="500"/>
      </w:pPr>
      <w:r>
        <w:t>2、可投入运营车辆（44吨含自重）不低于</w:t>
      </w:r>
      <w:r>
        <w:rPr>
          <w:rFonts w:hint="eastAsia"/>
          <w:lang w:val="en-US" w:eastAsia="zh-CN"/>
        </w:rPr>
        <w:t>5</w:t>
      </w:r>
      <w:r>
        <w:t>台，且车辆必须符合《运输设备技术规范》MNS4598:2020要求。</w:t>
      </w:r>
    </w:p>
    <w:p>
      <w:pPr>
        <w:widowControl/>
        <w:overflowPunct w:val="0"/>
        <w:adjustRightInd w:val="0"/>
        <w:snapToGrid w:val="0"/>
        <w:spacing w:line="360" w:lineRule="auto"/>
        <w:ind w:firstLine="840" w:firstLineChars="400"/>
        <w:textAlignment w:val="baseline"/>
        <w:rPr>
          <w:kern w:val="0"/>
          <w:szCs w:val="21"/>
          <w:lang w:val="mn-MN"/>
        </w:rPr>
      </w:pPr>
      <w:r>
        <w:rPr>
          <w:kern w:val="0"/>
          <w:szCs w:val="21"/>
          <w:lang w:val="mn-MN"/>
        </w:rPr>
        <w:t>（3）Гаалийн шаардлагад заасан барим бичиг бүрэн нийцсэн байх ба</w:t>
      </w:r>
      <w:r>
        <w:rPr>
          <w:kern w:val="0"/>
          <w:szCs w:val="21"/>
          <w:cs/>
          <w:lang w:val="mn-MN"/>
        </w:rPr>
        <w:t xml:space="preserve"> холбогдох хууль тогтоомж ,салбарын журмын шаардлагыг хангах.</w:t>
      </w:r>
    </w:p>
    <w:p>
      <w:pPr>
        <w:widowControl/>
        <w:overflowPunct w:val="0"/>
        <w:adjustRightInd w:val="0"/>
        <w:snapToGrid w:val="0"/>
        <w:spacing w:line="360" w:lineRule="auto"/>
        <w:ind w:left="630" w:firstLine="843"/>
        <w:jc w:val="left"/>
        <w:textAlignment w:val="baseline"/>
        <w:rPr>
          <w:kern w:val="0"/>
          <w:szCs w:val="21"/>
          <w:cs/>
          <w:lang w:val="mn-MN"/>
        </w:rPr>
      </w:pPr>
      <w:r>
        <w:t>3、符合海关要求并自行完成备案手续，满足相关法律及管理部门规定的资质要求。</w:t>
      </w:r>
    </w:p>
    <w:p>
      <w:pPr>
        <w:widowControl/>
        <w:overflowPunct w:val="0"/>
        <w:adjustRightInd w:val="0"/>
        <w:snapToGrid w:val="0"/>
        <w:spacing w:line="360" w:lineRule="auto"/>
        <w:ind w:firstLine="840" w:firstLineChars="400"/>
        <w:textAlignment w:val="baseline"/>
        <w:rPr>
          <w:kern w:val="0"/>
          <w:szCs w:val="21"/>
          <w:cs/>
          <w:lang w:val="mn-MN"/>
        </w:rPr>
      </w:pPr>
      <w:r>
        <w:rPr>
          <w:kern w:val="0"/>
          <w:szCs w:val="21"/>
        </w:rPr>
        <w:t>（4）</w:t>
      </w:r>
      <w:r>
        <w:rPr>
          <w:kern w:val="0"/>
          <w:szCs w:val="21"/>
          <w:cs/>
          <w:lang w:val="mn-MN"/>
        </w:rPr>
        <w:t xml:space="preserve">Тендэрт оролцогч нь сүүлийн 3 жил ноцтой зөрчил гаргасан эсвэл тендэрт оролцогчоос шалтгаалан гэрээг цуцлуулсан тохиолдол гаргаагүй байх, тендэрт оролцогч нь тендэрийн ялагчийг хуурамчаар аваагүй ноцтой зөрчил болон томоохон чанарын асуудалгүй байх, тендэрт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шаардлагатай. </w:t>
      </w:r>
    </w:p>
    <w:p>
      <w:pPr>
        <w:widowControl/>
        <w:overflowPunct w:val="0"/>
        <w:adjustRightInd w:val="0"/>
        <w:snapToGrid w:val="0"/>
        <w:spacing w:line="360" w:lineRule="auto"/>
        <w:ind w:firstLine="840" w:firstLineChars="400"/>
        <w:textAlignment w:val="baseline"/>
        <w:rPr>
          <w:kern w:val="0"/>
          <w:szCs w:val="21"/>
          <w:lang w:val="mn-MN"/>
        </w:rPr>
      </w:pPr>
      <w:r>
        <w:rPr>
          <w:kern w:val="0"/>
          <w:szCs w:val="21"/>
        </w:rPr>
        <w:t>(</w:t>
      </w:r>
      <w:r>
        <w:rPr>
          <w:rFonts w:hint="eastAsia"/>
          <w:kern w:val="0"/>
          <w:szCs w:val="21"/>
        </w:rPr>
        <w:t>5</w:t>
      </w:r>
      <w:r>
        <w:rPr>
          <w:kern w:val="0"/>
          <w:szCs w:val="21"/>
        </w:rPr>
        <w:t>)</w:t>
      </w:r>
      <w:r>
        <w:rPr>
          <w:rFonts w:hint="eastAsia"/>
          <w:kern w:val="0"/>
          <w:szCs w:val="21"/>
        </w:rPr>
        <w:t xml:space="preserve"> </w:t>
      </w:r>
      <w:r>
        <w:rPr>
          <w:kern w:val="0"/>
          <w:szCs w:val="21"/>
          <w:lang w:val="mn-MN"/>
        </w:rPr>
        <w:t xml:space="preserve">Сүүлийн 3 жилийн тээвэрлэлт хийж байсан гэрээний биелэлт </w:t>
      </w:r>
    </w:p>
    <w:p>
      <w:pPr>
        <w:widowControl/>
        <w:overflowPunct w:val="0"/>
        <w:adjustRightInd w:val="0"/>
        <w:snapToGrid w:val="0"/>
        <w:spacing w:line="360" w:lineRule="auto"/>
        <w:ind w:firstLine="840" w:firstLineChars="400"/>
        <w:textAlignment w:val="baseline"/>
        <w:rPr>
          <w:kern w:val="0"/>
          <w:szCs w:val="21"/>
          <w:lang w:val="mn-MN"/>
        </w:rPr>
      </w:pPr>
      <w:r>
        <w:rPr>
          <w:rFonts w:hint="eastAsia"/>
          <w:kern w:val="0"/>
          <w:szCs w:val="21"/>
          <w:lang w:val="mn-MN"/>
        </w:rPr>
        <w:t>（</w:t>
      </w:r>
      <w:r>
        <w:rPr>
          <w:kern w:val="0"/>
          <w:szCs w:val="21"/>
          <w:lang w:val="mn-MN"/>
        </w:rPr>
        <w:t>6</w:t>
      </w:r>
      <w:r>
        <w:rPr>
          <w:rFonts w:hint="eastAsia"/>
          <w:kern w:val="0"/>
          <w:szCs w:val="21"/>
          <w:lang w:val="mn-MN"/>
        </w:rPr>
        <w:t>）</w:t>
      </w:r>
      <w:r>
        <w:rPr>
          <w:kern w:val="0"/>
          <w:szCs w:val="21"/>
          <w:lang w:val="mn-MN"/>
        </w:rPr>
        <w:t xml:space="preserve">Тендерт оролцогч нь өөрийн болон хамтран ажиллаж байгаа машины жагсаалт гаргаж өдөрт 300тн-оос дээш баяжмал тээвэрлэх төлөвлөгөөг гаргах.  </w:t>
      </w:r>
    </w:p>
    <w:p>
      <w:pPr>
        <w:ind w:firstLine="840" w:firstLineChars="400"/>
        <w:rPr>
          <w:szCs w:val="21"/>
        </w:rPr>
      </w:pPr>
      <w:r>
        <w:rPr>
          <w:rFonts w:hint="eastAsia"/>
          <w:szCs w:val="21"/>
        </w:rPr>
        <w:t>4、</w:t>
      </w:r>
      <w:r>
        <w:rPr>
          <w:szCs w:val="21"/>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numPr>
          <w:ilvl w:val="0"/>
          <w:numId w:val="15"/>
        </w:numPr>
        <w:ind w:firstLine="840" w:firstLineChars="400"/>
      </w:pPr>
      <w:r>
        <w:t>有近3年运输相关业绩，并提供相应运输合同。</w:t>
      </w:r>
    </w:p>
    <w:p>
      <w:pPr>
        <w:ind w:firstLine="840" w:firstLineChars="400"/>
      </w:pPr>
      <w:r>
        <w:t>6、投标人需提供自有或合作的运输车辆名录，并制定每日运输300吨以上精矿粉的运输方案。</w:t>
      </w:r>
    </w:p>
    <w:p>
      <w:pPr>
        <w:widowControl/>
        <w:overflowPunct w:val="0"/>
        <w:adjustRightInd w:val="0"/>
        <w:snapToGrid w:val="0"/>
        <w:spacing w:line="360" w:lineRule="auto"/>
        <w:ind w:firstLine="840" w:firstLineChars="400"/>
        <w:jc w:val="left"/>
        <w:textAlignment w:val="baseline"/>
        <w:rPr>
          <w:kern w:val="0"/>
          <w:szCs w:val="21"/>
          <w:lang w:val="mn-MN"/>
        </w:rPr>
      </w:pPr>
      <w:r>
        <w:rPr>
          <w:kern w:val="0"/>
          <w:szCs w:val="21"/>
        </w:rPr>
        <w:t>（</w:t>
      </w:r>
      <w:r>
        <w:rPr>
          <w:kern w:val="0"/>
          <w:szCs w:val="21"/>
          <w:lang w:val="mn-MN"/>
        </w:rPr>
        <w:t>7</w:t>
      </w:r>
      <w:r>
        <w:rPr>
          <w:kern w:val="0"/>
          <w:szCs w:val="21"/>
        </w:rPr>
        <w:t>）</w:t>
      </w:r>
      <w:r>
        <w:rPr>
          <w:kern w:val="0"/>
          <w:szCs w:val="21"/>
          <w:cs/>
          <w:lang w:val="mn-MN"/>
        </w:rPr>
        <w:t xml:space="preserve">Энэ удаагийн тендэрт нэгдмэл үнийн саналыг гарахыг хориглоно. </w:t>
      </w:r>
    </w:p>
    <w:p>
      <w:pPr>
        <w:widowControl/>
        <w:overflowPunct w:val="0"/>
        <w:adjustRightInd w:val="0"/>
        <w:snapToGrid w:val="0"/>
        <w:spacing w:line="360" w:lineRule="auto"/>
        <w:ind w:left="480" w:firstLine="420" w:firstLineChars="200"/>
        <w:jc w:val="left"/>
        <w:textAlignment w:val="baseline"/>
        <w:rPr>
          <w:kern w:val="0"/>
          <w:szCs w:val="21"/>
        </w:rPr>
      </w:pPr>
      <w:r>
        <w:rPr>
          <w:kern w:val="0"/>
          <w:szCs w:val="21"/>
          <w:lang w:val="mn-MN"/>
        </w:rPr>
        <w:t>7</w:t>
      </w:r>
      <w:r>
        <w:rPr>
          <w:rFonts w:hint="eastAsia"/>
          <w:kern w:val="0"/>
          <w:szCs w:val="21"/>
        </w:rPr>
        <w:t>、</w:t>
      </w:r>
      <w:r>
        <w:rPr>
          <w:kern w:val="0"/>
          <w:szCs w:val="21"/>
        </w:rPr>
        <w:t>本次招标不允许联合报价。</w:t>
      </w:r>
    </w:p>
    <w:bookmarkEnd w:id="14"/>
    <w:p>
      <w:pPr>
        <w:pStyle w:val="4"/>
        <w:numPr>
          <w:ilvl w:val="0"/>
          <w:numId w:val="0"/>
        </w:numPr>
        <w:spacing w:line="360" w:lineRule="auto"/>
        <w:rPr>
          <w:rFonts w:ascii="Times New Roman" w:hAnsi="Times New Roman" w:eastAsia="宋体" w:cs="Times New Roman"/>
          <w:kern w:val="0"/>
          <w:sz w:val="21"/>
          <w:szCs w:val="21"/>
        </w:rPr>
      </w:pPr>
      <w:bookmarkStart w:id="15" w:name="_Toc461108837"/>
      <w:bookmarkStart w:id="16" w:name="_Toc183017241"/>
      <w:bookmarkStart w:id="17" w:name="_Toc26747"/>
      <w:r>
        <w:rPr>
          <w:rFonts w:hint="eastAsia" w:ascii="Times New Roman" w:hAnsi="Times New Roman" w:eastAsia="宋体" w:cs="Times New Roman"/>
          <w:kern w:val="0"/>
          <w:sz w:val="21"/>
          <w:szCs w:val="21"/>
          <w:cs w:val="0"/>
          <w:lang w:val="en-US" w:eastAsia="zh-CN"/>
        </w:rPr>
        <w:t>4.</w:t>
      </w:r>
      <w:r>
        <w:rPr>
          <w:rFonts w:ascii="Times New Roman" w:hAnsi="Times New Roman" w:eastAsia="宋体" w:cs="Times New Roman"/>
          <w:kern w:val="0"/>
          <w:sz w:val="21"/>
          <w:szCs w:val="21"/>
          <w:cs/>
          <w:lang w:val="mn-MN"/>
        </w:rPr>
        <w:t>Тендэрийн бичиг баримт боловсруулах шаардлага</w:t>
      </w:r>
    </w:p>
    <w:p>
      <w:pPr>
        <w:pStyle w:val="4"/>
        <w:numPr>
          <w:ilvl w:val="0"/>
          <w:numId w:val="0"/>
        </w:numPr>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投标文件的</w:t>
      </w:r>
      <w:bookmarkEnd w:id="15"/>
      <w:r>
        <w:rPr>
          <w:rFonts w:ascii="Times New Roman" w:hAnsi="Times New Roman" w:eastAsia="宋体" w:cs="Times New Roman"/>
          <w:kern w:val="0"/>
          <w:sz w:val="21"/>
          <w:szCs w:val="21"/>
        </w:rPr>
        <w:t>制作要求</w:t>
      </w:r>
      <w:bookmarkEnd w:id="16"/>
      <w:bookmarkEnd w:id="17"/>
    </w:p>
    <w:p>
      <w:pPr>
        <w:tabs>
          <w:tab w:val="right" w:leader="middleDot" w:pos="8640"/>
        </w:tabs>
        <w:spacing w:line="360" w:lineRule="auto"/>
        <w:ind w:left="480" w:firstLine="840"/>
        <w:rPr>
          <w:b/>
          <w:kern w:val="0"/>
          <w:szCs w:val="21"/>
          <w:lang w:val="mn-MN"/>
        </w:rPr>
      </w:pPr>
      <w:r>
        <w:rPr>
          <w:b/>
          <w:kern w:val="0"/>
          <w:szCs w:val="21"/>
        </w:rPr>
        <w:t>（1）</w:t>
      </w:r>
      <w:r>
        <w:rPr>
          <w:b/>
          <w:kern w:val="0"/>
          <w:szCs w:val="21"/>
          <w:cs/>
          <w:lang w:val="mn-MN"/>
        </w:rPr>
        <w:t>Тендэрийн бичиг баримтын тоо ширхэг</w:t>
      </w:r>
    </w:p>
    <w:p>
      <w:pPr>
        <w:tabs>
          <w:tab w:val="right" w:leader="middleDot" w:pos="8640"/>
        </w:tabs>
        <w:spacing w:line="360" w:lineRule="auto"/>
        <w:ind w:left="480" w:firstLine="840"/>
        <w:rPr>
          <w:b/>
          <w:kern w:val="0"/>
          <w:szCs w:val="21"/>
        </w:rPr>
      </w:pPr>
      <w:r>
        <w:rPr>
          <w:b/>
          <w:kern w:val="0"/>
          <w:szCs w:val="21"/>
        </w:rPr>
        <w:t>投标文件的数量：</w:t>
      </w:r>
    </w:p>
    <w:p>
      <w:pPr>
        <w:tabs>
          <w:tab w:val="right" w:leader="middleDot" w:pos="8640"/>
        </w:tabs>
        <w:spacing w:line="360" w:lineRule="auto"/>
        <w:ind w:left="480" w:firstLine="411" w:firstLineChars="196"/>
        <w:rPr>
          <w:bCs/>
          <w:szCs w:val="21"/>
          <w:lang w:val="mn-MN"/>
        </w:rPr>
      </w:pPr>
      <w:r>
        <w:rPr>
          <w:bCs/>
          <w:szCs w:val="21"/>
        </w:rPr>
        <w:t>①</w:t>
      </w:r>
      <w:r>
        <w:rPr>
          <w:bCs/>
          <w:szCs w:val="21"/>
          <w:cs/>
          <w:lang w:val="mn-MN"/>
        </w:rPr>
        <w:t xml:space="preserve"> Цахимаар тендэрийн бичгээ нэгтгэж 1 хувь </w:t>
      </w:r>
      <w:r>
        <w:rPr>
          <w:bCs/>
          <w:szCs w:val="21"/>
          <w:lang w:val="en-GB"/>
        </w:rPr>
        <w:t>(</w:t>
      </w:r>
      <w:r>
        <w:rPr>
          <w:bCs/>
          <w:szCs w:val="21"/>
          <w:cs/>
          <w:lang w:val="mn-MN"/>
        </w:rPr>
        <w:t>Зөвхөн тендэрийн үед Шинь Шинь ХХК-ийн</w:t>
      </w:r>
      <w:r>
        <w:rPr>
          <w:bCs/>
          <w:color w:val="0000FF"/>
          <w:szCs w:val="21"/>
          <w:cs/>
          <w:lang w:val="mn-MN"/>
        </w:rPr>
        <w:t xml:space="preserve"> </w:t>
      </w:r>
      <w:r>
        <w:rPr>
          <w:color w:val="0000FF"/>
        </w:rPr>
        <w:fldChar w:fldCharType="begin"/>
      </w:r>
      <w:r>
        <w:rPr>
          <w:color w:val="0000FF"/>
        </w:rPr>
        <w:instrText xml:space="preserve"> HYPERLINK "mailto:（xinxinoffice@gmail.com%20）хаягаар" </w:instrText>
      </w:r>
      <w:r>
        <w:rPr>
          <w:color w:val="0000FF"/>
        </w:rPr>
        <w:fldChar w:fldCharType="separate"/>
      </w:r>
      <w:r>
        <w:rPr>
          <w:rStyle w:val="143"/>
          <w:color w:val="0000FF"/>
          <w:kern w:val="0"/>
          <w:szCs w:val="21"/>
        </w:rPr>
        <w:t>（</w:t>
      </w:r>
      <w:r>
        <w:rPr>
          <w:color w:val="0000FF"/>
        </w:rPr>
        <w:fldChar w:fldCharType="begin"/>
      </w:r>
      <w:r>
        <w:rPr>
          <w:color w:val="0000FF"/>
        </w:rPr>
        <w:instrText xml:space="preserve"> HYPERLINK "mailto:xxkbj@xxkbid.com" </w:instrText>
      </w:r>
      <w:r>
        <w:rPr>
          <w:color w:val="0000FF"/>
        </w:rPr>
        <w:fldChar w:fldCharType="separate"/>
      </w:r>
      <w:r>
        <w:rPr>
          <w:rStyle w:val="143"/>
          <w:rFonts w:hint="eastAsia" w:ascii="仿宋" w:hAnsi="仿宋" w:eastAsia="仿宋" w:cs="仿宋"/>
          <w:color w:val="0000FF"/>
          <w:spacing w:val="-2"/>
          <w:sz w:val="28"/>
          <w:szCs w:val="28"/>
        </w:rPr>
        <w:t>xxkbj@xxkbid.com</w:t>
      </w:r>
      <w:r>
        <w:rPr>
          <w:rStyle w:val="143"/>
          <w:rFonts w:hint="eastAsia" w:ascii="仿宋" w:hAnsi="仿宋" w:eastAsia="仿宋" w:cs="仿宋"/>
          <w:color w:val="0000FF"/>
          <w:spacing w:val="-2"/>
          <w:sz w:val="28"/>
          <w:szCs w:val="28"/>
        </w:rPr>
        <w:fldChar w:fldCharType="end"/>
      </w:r>
      <w:r>
        <w:rPr>
          <w:rStyle w:val="143"/>
          <w:color w:val="0000FF"/>
          <w:kern w:val="0"/>
          <w:szCs w:val="21"/>
        </w:rPr>
        <w:t>）</w:t>
      </w:r>
      <w:r>
        <w:rPr>
          <w:rStyle w:val="143"/>
          <w:rFonts w:eastAsiaTheme="majorEastAsia"/>
          <w:color w:val="0000FF"/>
          <w:kern w:val="0"/>
          <w:szCs w:val="21"/>
          <w:cs/>
          <w:lang w:val="mn-MN"/>
        </w:rPr>
        <w:t>хаягаар</w:t>
      </w:r>
      <w:r>
        <w:rPr>
          <w:rStyle w:val="143"/>
          <w:rFonts w:eastAsiaTheme="majorEastAsia"/>
          <w:color w:val="0000FF"/>
          <w:kern w:val="0"/>
          <w:szCs w:val="21"/>
          <w:cs/>
          <w:lang w:val="mn-MN"/>
        </w:rPr>
        <w:fldChar w:fldCharType="end"/>
      </w:r>
      <w:r>
        <w:rPr>
          <w:kern w:val="0"/>
          <w:szCs w:val="21"/>
          <w:cs/>
          <w:lang w:val="mn-MN"/>
        </w:rPr>
        <w:t xml:space="preserve"> илгээнэ. Нэгтгэсэн файл нь задлах кодтой байна. Задлах кодгүйгээс гарах үр дүнг тендэрт оролцогч өөрөө хариуцна. </w:t>
      </w:r>
      <w:r>
        <w:rPr>
          <w:bCs/>
          <w:szCs w:val="21"/>
          <w:lang w:val="en-GB"/>
        </w:rPr>
        <w:t>)</w:t>
      </w:r>
    </w:p>
    <w:p>
      <w:pPr>
        <w:tabs>
          <w:tab w:val="right" w:leader="middleDot" w:pos="8640"/>
        </w:tabs>
        <w:spacing w:line="360" w:lineRule="auto"/>
        <w:ind w:left="480" w:firstLine="413" w:firstLineChars="196"/>
        <w:rPr>
          <w:b/>
          <w:bCs/>
          <w:szCs w:val="21"/>
        </w:rPr>
      </w:pPr>
      <w:r>
        <w:rPr>
          <w:b/>
          <w:bCs/>
          <w:szCs w:val="21"/>
          <w:lang w:val="mn-MN"/>
        </w:rPr>
        <w:t>电子版</w:t>
      </w:r>
      <w:bookmarkStart w:id="18" w:name="_Hlk182747308"/>
      <w:r>
        <w:rPr>
          <w:b/>
          <w:bCs/>
          <w:szCs w:val="21"/>
          <w:lang w:val="mn-MN"/>
        </w:rPr>
        <w:t>投标文件</w:t>
      </w:r>
      <w:bookmarkEnd w:id="18"/>
      <w:r>
        <w:rPr>
          <w:b/>
          <w:bCs/>
          <w:szCs w:val="21"/>
          <w:lang w:val="mn-MN"/>
        </w:rPr>
        <w:t>压缩包1份</w:t>
      </w:r>
      <w:r>
        <w:rPr>
          <w:bCs/>
          <w:szCs w:val="21"/>
          <w:lang w:val="mn-MN"/>
        </w:rPr>
        <w:t>（</w:t>
      </w:r>
      <w:r>
        <w:rPr>
          <w:kern w:val="0"/>
          <w:szCs w:val="21"/>
          <w:lang w:val="mn-MN"/>
        </w:rPr>
        <w:t>只需在投标时</w:t>
      </w:r>
      <w:bookmarkStart w:id="19" w:name="_Hlk182747232"/>
      <w:r>
        <w:rPr>
          <w:kern w:val="0"/>
          <w:szCs w:val="21"/>
          <w:lang w:val="mn-MN"/>
        </w:rPr>
        <w:t>发送至新鑫公司报价邮箱（</w:t>
      </w:r>
      <w:r>
        <w:rPr>
          <w:color w:val="auto"/>
          <w:sz w:val="20"/>
          <w:szCs w:val="22"/>
        </w:rPr>
        <w:fldChar w:fldCharType="begin"/>
      </w:r>
      <w:r>
        <w:rPr>
          <w:color w:val="auto"/>
          <w:sz w:val="20"/>
          <w:szCs w:val="22"/>
        </w:rPr>
        <w:instrText xml:space="preserve"> HYPERLINK "mailto:xxkbj@xxkbid.com" </w:instrText>
      </w:r>
      <w:r>
        <w:rPr>
          <w:color w:val="auto"/>
          <w:sz w:val="20"/>
          <w:szCs w:val="22"/>
        </w:rPr>
        <w:fldChar w:fldCharType="separate"/>
      </w:r>
      <w:r>
        <w:rPr>
          <w:rStyle w:val="143"/>
          <w:rFonts w:hint="eastAsia" w:ascii="仿宋" w:hAnsi="仿宋" w:eastAsia="仿宋" w:cs="仿宋"/>
          <w:color w:val="auto"/>
          <w:spacing w:val="-2"/>
          <w:sz w:val="24"/>
          <w:szCs w:val="24"/>
        </w:rPr>
        <w:t>xxkbj@xxkbid.com</w:t>
      </w:r>
      <w:r>
        <w:rPr>
          <w:rStyle w:val="143"/>
          <w:rFonts w:hint="eastAsia" w:ascii="仿宋" w:hAnsi="仿宋" w:eastAsia="仿宋" w:cs="仿宋"/>
          <w:color w:val="auto"/>
          <w:spacing w:val="-2"/>
          <w:sz w:val="24"/>
          <w:szCs w:val="24"/>
        </w:rPr>
        <w:fldChar w:fldCharType="end"/>
      </w:r>
      <w:r>
        <w:rPr>
          <w:kern w:val="0"/>
          <w:szCs w:val="21"/>
          <w:lang w:val="mn-MN"/>
        </w:rPr>
        <w:t>）</w:t>
      </w:r>
      <w:bookmarkEnd w:id="19"/>
      <w:r>
        <w:rPr>
          <w:kern w:val="0"/>
          <w:szCs w:val="21"/>
          <w:lang w:val="mn-MN"/>
        </w:rPr>
        <w:t>。</w:t>
      </w:r>
      <w:r>
        <w:rPr>
          <w:kern w:val="0"/>
          <w:szCs w:val="21"/>
        </w:rPr>
        <w:t>压缩包要有解压密码，无解压密码的，所有后果由投标人自负</w:t>
      </w:r>
      <w:r>
        <w:rPr>
          <w:bCs/>
          <w:szCs w:val="21"/>
        </w:rPr>
        <w:t>）；</w:t>
      </w:r>
    </w:p>
    <w:p>
      <w:pPr>
        <w:tabs>
          <w:tab w:val="right" w:leader="middleDot" w:pos="8640"/>
        </w:tabs>
        <w:spacing w:line="360" w:lineRule="auto"/>
        <w:ind w:left="480" w:firstLine="411" w:firstLineChars="196"/>
        <w:rPr>
          <w:bCs/>
          <w:szCs w:val="21"/>
          <w:lang w:val="mn-MN"/>
        </w:rPr>
      </w:pPr>
      <w:r>
        <w:rPr>
          <w:bCs/>
          <w:szCs w:val="21"/>
        </w:rPr>
        <w:t>②</w:t>
      </w:r>
      <w:r>
        <w:rPr>
          <w:bCs/>
          <w:szCs w:val="21"/>
          <w:cs/>
          <w:lang w:val="mn-MN"/>
        </w:rPr>
        <w:t xml:space="preserve">Битүүмжилсэн бичиг хэлбэрээр тендэрийн бичиг 1 хувь, тендэрийн бичиг баримтын бизнес техникийн бичиг, үнийн саналын хүснэгт 1хувь, </w:t>
      </w:r>
      <w:r>
        <w:rPr>
          <w:bCs/>
          <w:szCs w:val="21"/>
          <w:lang w:val="en-GB"/>
        </w:rPr>
        <w:t>(</w:t>
      </w:r>
      <w:r>
        <w:rPr>
          <w:bCs/>
          <w:szCs w:val="21"/>
          <w:cs/>
          <w:lang w:val="mn-MN"/>
        </w:rPr>
        <w:t xml:space="preserve">үнийн саналын хүснэгт хэлбэр болон агуулгыг өөрчилж болохгүй </w:t>
      </w:r>
      <w:r>
        <w:rPr>
          <w:bCs/>
          <w:szCs w:val="21"/>
          <w:lang w:val="en-GB"/>
        </w:rPr>
        <w:t>(</w:t>
      </w:r>
      <w:r>
        <w:rPr>
          <w:bCs/>
          <w:szCs w:val="21"/>
          <w:cs/>
          <w:lang w:val="mn-MN"/>
        </w:rPr>
        <w:t>тайлбар хэсэг багтана</w:t>
      </w:r>
      <w:r>
        <w:rPr>
          <w:bCs/>
          <w:szCs w:val="21"/>
          <w:lang w:val="en-GB"/>
        </w:rPr>
        <w:t>)</w:t>
      </w:r>
      <w:r>
        <w:rPr>
          <w:bCs/>
          <w:szCs w:val="21"/>
          <w:cs/>
          <w:lang w:val="mn-MN"/>
        </w:rPr>
        <w:t>, хэрвээ нэмэлт тайлбар байгаа бол “үнийн саналын тайлбар”-т бичнэ үү</w:t>
      </w:r>
      <w:r>
        <w:rPr>
          <w:bCs/>
          <w:szCs w:val="21"/>
          <w:lang w:val="en-GB"/>
        </w:rPr>
        <w:t>)</w:t>
      </w:r>
    </w:p>
    <w:p>
      <w:pPr>
        <w:tabs>
          <w:tab w:val="right" w:leader="middleDot" w:pos="8640"/>
        </w:tabs>
        <w:spacing w:line="360" w:lineRule="auto"/>
        <w:ind w:left="480" w:firstLine="413" w:firstLineChars="196"/>
        <w:rPr>
          <w:b/>
          <w:bCs/>
          <w:szCs w:val="21"/>
        </w:rPr>
      </w:pPr>
      <w:r>
        <w:rPr>
          <w:b/>
          <w:bCs/>
          <w:szCs w:val="21"/>
        </w:rPr>
        <w:t>密封完好的纸质版投标文件1份，投标文件包含商务技术文件、开标一览表1份（开标一览表的格式及内容均不可以修改（包括备注），如有补充说明请填写在“报价备注”列中）；</w:t>
      </w:r>
    </w:p>
    <w:p>
      <w:pPr>
        <w:spacing w:line="360" w:lineRule="auto"/>
        <w:ind w:left="480" w:firstLine="840"/>
        <w:rPr>
          <w:b/>
          <w:bCs/>
          <w:szCs w:val="21"/>
          <w:lang w:val="mn-MN"/>
        </w:rPr>
      </w:pPr>
      <w:r>
        <w:rPr>
          <w:b/>
          <w:bCs/>
          <w:szCs w:val="21"/>
        </w:rPr>
        <w:t>（</w:t>
      </w:r>
      <w:r>
        <w:rPr>
          <w:b/>
          <w:bCs/>
          <w:szCs w:val="21"/>
          <w:cs/>
          <w:lang w:val="mn-MN"/>
        </w:rPr>
        <w:t>3</w:t>
      </w:r>
      <w:r>
        <w:rPr>
          <w:b/>
          <w:bCs/>
          <w:szCs w:val="21"/>
        </w:rPr>
        <w:t>）</w:t>
      </w:r>
      <w:r>
        <w:rPr>
          <w:b/>
          <w:bCs/>
          <w:szCs w:val="21"/>
          <w:cs/>
          <w:lang w:val="mn-MN"/>
        </w:rPr>
        <w:t xml:space="preserve">Тендэрийн бичиг баримтын боловсруулах хэлбэр: Хавсралт 1-с үзнэ үү </w:t>
      </w:r>
      <w:r>
        <w:rPr>
          <w:b/>
          <w:bCs/>
          <w:szCs w:val="21"/>
          <w:lang w:val="en-GB"/>
        </w:rPr>
        <w:t>(</w:t>
      </w:r>
      <w:r>
        <w:rPr>
          <w:b/>
          <w:bCs/>
          <w:szCs w:val="21"/>
          <w:cs/>
          <w:lang w:val="mn-MN"/>
        </w:rPr>
        <w:t>Хавсралт1-1- Хавсралт1-</w:t>
      </w:r>
      <w:r>
        <w:rPr>
          <w:b/>
          <w:bCs/>
          <w:szCs w:val="21"/>
        </w:rPr>
        <w:t>6</w:t>
      </w:r>
      <w:r>
        <w:rPr>
          <w:b/>
          <w:bCs/>
          <w:szCs w:val="21"/>
          <w:cs/>
          <w:lang w:val="mn-MN"/>
        </w:rPr>
        <w:t xml:space="preserve"> багтана</w:t>
      </w:r>
      <w:r>
        <w:rPr>
          <w:b/>
          <w:bCs/>
          <w:szCs w:val="21"/>
          <w:lang w:val="en-GB"/>
        </w:rPr>
        <w:t xml:space="preserve"> )</w:t>
      </w:r>
    </w:p>
    <w:p>
      <w:pPr>
        <w:spacing w:line="360" w:lineRule="auto"/>
        <w:ind w:left="480" w:firstLine="840"/>
        <w:rPr>
          <w:b/>
          <w:bCs/>
          <w:szCs w:val="21"/>
        </w:rPr>
      </w:pPr>
      <w:r>
        <w:rPr>
          <w:b/>
          <w:bCs/>
          <w:szCs w:val="21"/>
        </w:rPr>
        <w:t>投标文件的编写格式：请参考附件1（包含附件1-1～附件1-6）</w:t>
      </w:r>
    </w:p>
    <w:p>
      <w:pPr>
        <w:spacing w:line="360" w:lineRule="auto"/>
        <w:ind w:left="480" w:firstLine="840"/>
        <w:rPr>
          <w:b/>
          <w:bCs/>
          <w:szCs w:val="21"/>
          <w:lang w:val="mn-MN"/>
        </w:rPr>
      </w:pPr>
      <w:r>
        <w:rPr>
          <w:b/>
          <w:bCs/>
          <w:szCs w:val="21"/>
        </w:rPr>
        <w:t>（</w:t>
      </w:r>
      <w:r>
        <w:rPr>
          <w:b/>
          <w:bCs/>
          <w:szCs w:val="21"/>
          <w:cs/>
          <w:lang w:val="mn-MN"/>
        </w:rPr>
        <w:t>4</w:t>
      </w:r>
      <w:r>
        <w:rPr>
          <w:b/>
          <w:bCs/>
          <w:szCs w:val="21"/>
        </w:rPr>
        <w:t>）</w:t>
      </w:r>
      <w:r>
        <w:rPr>
          <w:b/>
          <w:bCs/>
          <w:szCs w:val="21"/>
          <w:cs/>
          <w:lang w:val="mn-MN"/>
        </w:rPr>
        <w:t>Тендэрийн бичиг баримтын агуулгад дараах 3 төрөл байна.</w:t>
      </w:r>
    </w:p>
    <w:p>
      <w:pPr>
        <w:spacing w:line="360" w:lineRule="auto"/>
        <w:ind w:left="480" w:firstLine="840"/>
        <w:rPr>
          <w:b/>
          <w:bCs/>
          <w:szCs w:val="21"/>
        </w:rPr>
      </w:pPr>
      <w:r>
        <w:rPr>
          <w:b/>
          <w:bCs/>
          <w:szCs w:val="21"/>
        </w:rPr>
        <w:t>投标文件的内容须包含以下3大类：</w:t>
      </w:r>
    </w:p>
    <w:p>
      <w:pPr>
        <w:spacing w:line="360" w:lineRule="auto"/>
        <w:ind w:left="480" w:firstLine="420" w:firstLineChars="200"/>
        <w:rPr>
          <w:szCs w:val="21"/>
          <w:lang w:val="mn-MN"/>
        </w:rPr>
      </w:pPr>
      <w:r>
        <w:rPr>
          <w:szCs w:val="21"/>
        </w:rPr>
        <w:fldChar w:fldCharType="begin"/>
      </w:r>
      <w:r>
        <w:rPr>
          <w:szCs w:val="21"/>
        </w:rPr>
        <w:instrText xml:space="preserve">= 1 \* GB3</w:instrText>
      </w:r>
      <w:r>
        <w:rPr>
          <w:szCs w:val="21"/>
        </w:rPr>
        <w:fldChar w:fldCharType="separate"/>
      </w:r>
      <w:r>
        <w:rPr>
          <w:szCs w:val="21"/>
        </w:rPr>
        <w:t>①</w:t>
      </w:r>
      <w:r>
        <w:rPr>
          <w:szCs w:val="21"/>
        </w:rPr>
        <w:fldChar w:fldCharType="end"/>
      </w:r>
      <w:r>
        <w:rPr>
          <w:szCs w:val="21"/>
          <w:cs/>
          <w:lang w:val="mn-MN"/>
        </w:rPr>
        <w:t xml:space="preserve"> Үнийн саналын хүснэгт: Тендэрт оролцогч нь Хавсралт 1-4 дагуу үнийн саналаа бөглөнө. Хавсралт 1-4-ыг </w:t>
      </w:r>
      <w:r>
        <w:rPr>
          <w:szCs w:val="21"/>
          <w:lang w:val="en-GB"/>
        </w:rPr>
        <w:t xml:space="preserve">EXCEL </w:t>
      </w:r>
      <w:r>
        <w:rPr>
          <w:szCs w:val="21"/>
          <w:cs/>
          <w:lang w:val="mn-MN"/>
        </w:rPr>
        <w:t xml:space="preserve">дээр хуулаад үнийн саналын хуудасаа боловсруулна. Үнийн саналын хуудас нь цахим хэлбэрээр </w:t>
      </w:r>
      <w:r>
        <w:rPr>
          <w:szCs w:val="21"/>
          <w:lang w:val="en-GB"/>
        </w:rPr>
        <w:t xml:space="preserve">EXCEL </w:t>
      </w:r>
      <w:r>
        <w:rPr>
          <w:szCs w:val="21"/>
          <w:cs/>
          <w:lang w:val="mn-MN"/>
        </w:rPr>
        <w:t xml:space="preserve">дээр боловсруулж, гарын үсэг тамгатай сканердсан </w:t>
      </w:r>
      <w:r>
        <w:rPr>
          <w:szCs w:val="21"/>
          <w:lang w:val="en-GB"/>
        </w:rPr>
        <w:t>PDF</w:t>
      </w:r>
      <w:r>
        <w:rPr>
          <w:szCs w:val="21"/>
          <w:cs/>
          <w:lang w:val="mn-MN"/>
        </w:rPr>
        <w:t xml:space="preserve"> хуулбар байна. </w:t>
      </w:r>
    </w:p>
    <w:p>
      <w:pPr>
        <w:spacing w:line="360" w:lineRule="auto"/>
        <w:ind w:left="480" w:firstLine="422" w:firstLineChars="200"/>
        <w:rPr>
          <w:bCs/>
          <w:szCs w:val="21"/>
        </w:rPr>
      </w:pPr>
      <w:r>
        <w:rPr>
          <w:b/>
          <w:bCs/>
          <w:szCs w:val="21"/>
        </w:rPr>
        <w:t>开标一览表</w:t>
      </w:r>
      <w:r>
        <w:rPr>
          <w:bCs/>
          <w:szCs w:val="21"/>
        </w:rPr>
        <w:t>：投标人需严格按照附件1-4的格式填报价格，请将附件1-4复制到EXCEL表格内制作开标一览表。开标一览表电子版需包含可编辑的EXCEL版开标一览表和清晰的PDF签字盖章扫描件。</w:t>
      </w:r>
    </w:p>
    <w:p>
      <w:pPr>
        <w:spacing w:line="360" w:lineRule="auto"/>
        <w:ind w:left="480" w:firstLine="420" w:firstLineChars="200"/>
        <w:rPr>
          <w:szCs w:val="21"/>
          <w:lang w:val="mn-MN"/>
        </w:rPr>
      </w:pPr>
      <w:r>
        <w:rPr>
          <w:szCs w:val="21"/>
        </w:rPr>
        <w:fldChar w:fldCharType="begin"/>
      </w:r>
      <w:r>
        <w:rPr>
          <w:szCs w:val="21"/>
        </w:rPr>
        <w:instrText xml:space="preserve">= 2 \* GB3</w:instrText>
      </w:r>
      <w:r>
        <w:rPr>
          <w:szCs w:val="21"/>
        </w:rPr>
        <w:fldChar w:fldCharType="separate"/>
      </w:r>
      <w:r>
        <w:rPr>
          <w:szCs w:val="21"/>
        </w:rPr>
        <w:t>②</w:t>
      </w:r>
      <w:r>
        <w:rPr>
          <w:szCs w:val="21"/>
        </w:rPr>
        <w:fldChar w:fldCharType="end"/>
      </w:r>
      <w:r>
        <w:rPr>
          <w:szCs w:val="21"/>
        </w:rPr>
        <w:t xml:space="preserve"> </w:t>
      </w:r>
      <w:r>
        <w:rPr>
          <w:szCs w:val="21"/>
          <w:cs/>
          <w:lang w:val="mn-MN"/>
        </w:rPr>
        <w:t xml:space="preserve">Бизнес техникийн санал </w:t>
      </w:r>
      <w:r>
        <w:rPr>
          <w:szCs w:val="21"/>
          <w:lang w:val="en-GB"/>
        </w:rPr>
        <w:t>(</w:t>
      </w:r>
      <w:r>
        <w:rPr>
          <w:szCs w:val="21"/>
          <w:cs/>
          <w:lang w:val="mn-MN"/>
        </w:rPr>
        <w:t xml:space="preserve"> Цахим хэлбэрээр  </w:t>
      </w:r>
      <w:r>
        <w:rPr>
          <w:szCs w:val="21"/>
          <w:lang w:val="en-GB"/>
        </w:rPr>
        <w:t xml:space="preserve">WORD </w:t>
      </w:r>
      <w:r>
        <w:rPr>
          <w:szCs w:val="21"/>
          <w:cs/>
          <w:lang w:val="mn-MN"/>
        </w:rPr>
        <w:t xml:space="preserve">дээр боловсруулах шаардлагатай, мөн </w:t>
      </w:r>
      <w:r>
        <w:rPr>
          <w:szCs w:val="21"/>
          <w:lang w:val="en-GB"/>
        </w:rPr>
        <w:t xml:space="preserve">EXCEL </w:t>
      </w:r>
      <w:r>
        <w:rPr>
          <w:szCs w:val="21"/>
          <w:cs/>
          <w:lang w:val="mn-MN"/>
        </w:rPr>
        <w:t xml:space="preserve">дээр боловсруулсан үнийн санал болон гарын үсэг тамгатай сканердсан </w:t>
      </w:r>
      <w:r>
        <w:rPr>
          <w:szCs w:val="21"/>
          <w:lang w:val="en-GB"/>
        </w:rPr>
        <w:t>PDF</w:t>
      </w:r>
      <w:r>
        <w:rPr>
          <w:szCs w:val="21"/>
          <w:cs/>
          <w:lang w:val="mn-MN"/>
        </w:rPr>
        <w:t xml:space="preserve"> хуулбар байна.</w:t>
      </w:r>
      <w:r>
        <w:rPr>
          <w:szCs w:val="21"/>
          <w:lang w:val="en-GB"/>
        </w:rPr>
        <w:t>)</w:t>
      </w:r>
      <w:r>
        <w:rPr>
          <w:szCs w:val="21"/>
          <w:cs/>
          <w:lang w:val="mn-MN"/>
        </w:rPr>
        <w:t xml:space="preserve"> Бизнес техникийн саналд дараах агуулга багтана.</w:t>
      </w:r>
    </w:p>
    <w:p>
      <w:pPr>
        <w:spacing w:line="360" w:lineRule="auto"/>
        <w:ind w:left="480" w:firstLine="422" w:firstLineChars="200"/>
        <w:rPr>
          <w:bCs/>
          <w:szCs w:val="21"/>
        </w:rPr>
      </w:pPr>
      <w:r>
        <w:rPr>
          <w:b/>
          <w:bCs/>
          <w:szCs w:val="21"/>
        </w:rPr>
        <w:t>商务技术标</w:t>
      </w:r>
      <w:r>
        <w:rPr>
          <w:bCs/>
          <w:szCs w:val="21"/>
        </w:rPr>
        <w:t>（电子版需包含可编辑的WORD版商务标、可编辑的EXCEL版分项报价单和清晰的PDF签字盖章扫描件），商务技术标须包含以下内容：</w:t>
      </w:r>
    </w:p>
    <w:p>
      <w:pPr>
        <w:numPr>
          <w:ilvl w:val="0"/>
          <w:numId w:val="16"/>
        </w:numPr>
        <w:spacing w:line="360" w:lineRule="auto"/>
        <w:ind w:left="480" w:firstLine="840" w:firstLineChars="400"/>
        <w:rPr>
          <w:szCs w:val="21"/>
        </w:rPr>
      </w:pPr>
      <w:r>
        <w:rPr>
          <w:szCs w:val="21"/>
          <w:cs/>
          <w:lang w:val="mn-MN"/>
        </w:rPr>
        <w:t>Хавсралт 1-1 дагуу тендэрийн бичиг баримтын нүүр хийх, Хав</w:t>
      </w:r>
      <w:r>
        <w:rPr>
          <w:szCs w:val="21"/>
          <w:lang w:val="mn-MN"/>
        </w:rPr>
        <w:t>с</w:t>
      </w:r>
      <w:r>
        <w:rPr>
          <w:szCs w:val="21"/>
          <w:cs/>
          <w:lang w:val="mn-MN"/>
        </w:rPr>
        <w:t>ралт 1-2 дагуу Тендэрийн санал болон Хавсралт 1-3 дагуу хууль ёсны төлөөлөгч, итгэмжлэл боловсруулах,</w:t>
      </w:r>
    </w:p>
    <w:p>
      <w:pPr>
        <w:spacing w:line="360" w:lineRule="auto"/>
        <w:ind w:left="480"/>
        <w:rPr>
          <w:szCs w:val="21"/>
        </w:rPr>
      </w:pPr>
      <w:r>
        <w:rPr>
          <w:bCs/>
          <w:szCs w:val="21"/>
        </w:rPr>
        <w:t>按附件1-1格式制作的投标文件封面、附件1-2格式制作的投标书和附件1-3格式制作的法定代表人授权书</w:t>
      </w:r>
      <w:r>
        <w:rPr>
          <w:szCs w:val="21"/>
        </w:rPr>
        <w:t>；</w:t>
      </w:r>
    </w:p>
    <w:p>
      <w:pPr>
        <w:numPr>
          <w:ilvl w:val="0"/>
          <w:numId w:val="16"/>
        </w:numPr>
        <w:spacing w:line="360" w:lineRule="auto"/>
        <w:ind w:left="480" w:firstLine="840" w:firstLineChars="400"/>
        <w:rPr>
          <w:bCs/>
          <w:szCs w:val="21"/>
        </w:rPr>
      </w:pPr>
      <w:r>
        <w:rPr>
          <w:bCs/>
          <w:szCs w:val="21"/>
          <w:cs/>
          <w:lang w:val="mn-MN"/>
        </w:rPr>
        <w:t xml:space="preserve">Хавсралт 1-5 дагуу тээврийн үйлчилгээний шаардлага хангасан бичиг баримтыг нэг бүрчлэн гаргаж өгөх, </w:t>
      </w:r>
      <w:r>
        <w:rPr>
          <w:bCs/>
          <w:szCs w:val="21"/>
          <w:lang w:val="en-GB"/>
        </w:rPr>
        <w:t>(</w:t>
      </w:r>
      <w:r>
        <w:rPr>
          <w:bCs/>
          <w:szCs w:val="21"/>
          <w:cs/>
          <w:lang w:val="mn-MN"/>
        </w:rPr>
        <w:t>машины бүрэн бүтэн байдал болон тээвэрлэлтийн холбогдох бичиг зэрэг</w:t>
      </w:r>
      <w:r>
        <w:rPr>
          <w:bCs/>
          <w:szCs w:val="21"/>
          <w:lang w:val="en-GB"/>
        </w:rPr>
        <w:t>)</w:t>
      </w:r>
    </w:p>
    <w:p>
      <w:pPr>
        <w:spacing w:line="360" w:lineRule="auto"/>
        <w:ind w:left="840" w:leftChars="400"/>
        <w:rPr>
          <w:szCs w:val="21"/>
        </w:rPr>
      </w:pPr>
      <w:r>
        <w:rPr>
          <w:bCs/>
          <w:szCs w:val="21"/>
        </w:rPr>
        <w:t>按附件1-5的要求逐一提供</w:t>
      </w:r>
      <w:r>
        <w:rPr>
          <w:szCs w:val="21"/>
        </w:rPr>
        <w:t>证明其运输服务符合要求的文件（如：车辆保障、</w:t>
      </w:r>
    </w:p>
    <w:p>
      <w:pPr>
        <w:spacing w:line="360" w:lineRule="auto"/>
        <w:rPr>
          <w:bCs/>
          <w:szCs w:val="21"/>
        </w:rPr>
      </w:pPr>
      <w:r>
        <w:rPr>
          <w:szCs w:val="21"/>
        </w:rPr>
        <w:t>运输资质等）；</w:t>
      </w:r>
    </w:p>
    <w:p>
      <w:pPr>
        <w:numPr>
          <w:ilvl w:val="0"/>
          <w:numId w:val="16"/>
        </w:numPr>
        <w:spacing w:line="360" w:lineRule="auto"/>
        <w:ind w:left="480" w:firstLine="843" w:firstLineChars="400"/>
        <w:rPr>
          <w:b/>
          <w:bCs/>
          <w:szCs w:val="21"/>
        </w:rPr>
      </w:pPr>
      <w:r>
        <w:rPr>
          <w:b/>
          <w:bCs/>
          <w:szCs w:val="21"/>
          <w:cs/>
          <w:lang w:val="mn-MN"/>
        </w:rPr>
        <w:t>Хавсралт 1-6 Аж ахуйн нэгжийн зөвшөөрөл болон нотлох бичиг баримт</w:t>
      </w:r>
    </w:p>
    <w:p>
      <w:pPr>
        <w:spacing w:line="360" w:lineRule="auto"/>
        <w:ind w:left="840" w:leftChars="400"/>
        <w:rPr>
          <w:bCs/>
          <w:szCs w:val="21"/>
        </w:rPr>
      </w:pPr>
      <w:r>
        <w:rPr>
          <w:bCs/>
          <w:szCs w:val="21"/>
        </w:rPr>
        <w:t>附件1-6要求的企业资质和证明文件</w:t>
      </w:r>
    </w:p>
    <w:p>
      <w:pPr>
        <w:spacing w:line="360" w:lineRule="auto"/>
        <w:ind w:left="480" w:firstLine="420" w:firstLineChars="200"/>
        <w:rPr>
          <w:szCs w:val="21"/>
          <w:lang w:val="mn-MN"/>
        </w:rPr>
      </w:pPr>
      <w:r>
        <w:rPr>
          <w:szCs w:val="21"/>
        </w:rPr>
        <w:fldChar w:fldCharType="begin"/>
      </w:r>
      <w:r>
        <w:rPr>
          <w:szCs w:val="21"/>
        </w:rPr>
        <w:instrText xml:space="preserve">= 3 \* GB3</w:instrText>
      </w:r>
      <w:r>
        <w:rPr>
          <w:szCs w:val="21"/>
        </w:rPr>
        <w:fldChar w:fldCharType="separate"/>
      </w:r>
      <w:r>
        <w:rPr>
          <w:szCs w:val="21"/>
        </w:rPr>
        <w:t>③</w:t>
      </w:r>
      <w:r>
        <w:rPr>
          <w:szCs w:val="21"/>
        </w:rPr>
        <w:fldChar w:fldCharType="end"/>
      </w:r>
      <w:r>
        <w:rPr>
          <w:szCs w:val="21"/>
          <w:cs/>
          <w:lang w:val="mn-MN"/>
        </w:rPr>
        <w:t xml:space="preserve"> Бусад шаардлагтай бичиг баримт</w:t>
      </w:r>
    </w:p>
    <w:p>
      <w:pPr>
        <w:spacing w:line="360" w:lineRule="auto"/>
        <w:ind w:left="480" w:firstLine="422" w:firstLineChars="200"/>
        <w:rPr>
          <w:b/>
          <w:bCs/>
          <w:szCs w:val="21"/>
          <w:lang w:val="mn-MN"/>
        </w:rPr>
      </w:pPr>
      <w:r>
        <w:rPr>
          <w:b/>
          <w:bCs/>
          <w:szCs w:val="21"/>
          <w:lang w:val="mn-MN"/>
        </w:rPr>
        <w:t>其他必要文件</w:t>
      </w:r>
    </w:p>
    <w:p>
      <w:pPr>
        <w:spacing w:line="360" w:lineRule="auto"/>
        <w:ind w:left="480" w:firstLine="420" w:firstLineChars="200"/>
        <w:rPr>
          <w:bCs/>
          <w:szCs w:val="21"/>
          <w:cs/>
          <w:lang w:val="mn-MN"/>
        </w:rPr>
      </w:pPr>
      <w:r>
        <w:rPr>
          <w:bCs/>
          <w:szCs w:val="21"/>
          <w:cs/>
          <w:lang w:val="mn-MN"/>
        </w:rPr>
        <w:t xml:space="preserve">Дээрх тендэрийн бичиг баримтыг цахимаар 1 хувь, тендэрийн бичиг хүлээлгэн өгөх хугацаа дуусгаах өмнө Шинь Шинь ХХК-ний </w:t>
      </w:r>
      <w:r>
        <w:fldChar w:fldCharType="begin"/>
      </w:r>
      <w:r>
        <w:instrText xml:space="preserve"> HYPERLINK "mailto:（%20xinxinoffice@gmail.com）%20" </w:instrText>
      </w:r>
      <w:r>
        <w:fldChar w:fldCharType="separate"/>
      </w:r>
      <w:r>
        <w:rPr>
          <w:rStyle w:val="143"/>
          <w:bCs/>
          <w:szCs w:val="21"/>
          <w:lang w:val="mn-MN"/>
        </w:rPr>
        <w:t>（</w:t>
      </w:r>
      <w:r>
        <w:rPr>
          <w:rStyle w:val="143"/>
          <w:rFonts w:hint="eastAsia"/>
          <w:bCs/>
          <w:color w:val="0000FF"/>
          <w:sz w:val="20"/>
          <w:szCs w:val="20"/>
        </w:rPr>
        <w:t xml:space="preserve"> </w:t>
      </w:r>
      <w:r>
        <w:rPr>
          <w:color w:val="0000FF"/>
          <w:sz w:val="20"/>
          <w:szCs w:val="22"/>
        </w:rPr>
        <w:fldChar w:fldCharType="begin"/>
      </w:r>
      <w:r>
        <w:rPr>
          <w:color w:val="0000FF"/>
          <w:sz w:val="20"/>
          <w:szCs w:val="22"/>
        </w:rPr>
        <w:instrText xml:space="preserve"> HYPERLINK "mailto:xxkbj@xxkbid.com" </w:instrText>
      </w:r>
      <w:r>
        <w:rPr>
          <w:color w:val="0000FF"/>
          <w:sz w:val="20"/>
          <w:szCs w:val="22"/>
        </w:rPr>
        <w:fldChar w:fldCharType="separate"/>
      </w:r>
      <w:r>
        <w:rPr>
          <w:rStyle w:val="143"/>
          <w:rFonts w:hint="eastAsia" w:ascii="仿宋" w:hAnsi="仿宋" w:eastAsia="仿宋" w:cs="仿宋"/>
          <w:color w:val="0000FF"/>
          <w:spacing w:val="-2"/>
          <w:sz w:val="24"/>
          <w:szCs w:val="24"/>
        </w:rPr>
        <w:t>xxkbj@xxkbid.com</w:t>
      </w:r>
      <w:r>
        <w:rPr>
          <w:rStyle w:val="143"/>
          <w:rFonts w:hint="eastAsia" w:ascii="仿宋" w:hAnsi="仿宋" w:eastAsia="仿宋" w:cs="仿宋"/>
          <w:color w:val="0000FF"/>
          <w:spacing w:val="-2"/>
          <w:sz w:val="24"/>
          <w:szCs w:val="24"/>
        </w:rPr>
        <w:fldChar w:fldCharType="end"/>
      </w:r>
      <w:r>
        <w:rPr>
          <w:rStyle w:val="143"/>
          <w:bCs/>
          <w:szCs w:val="21"/>
          <w:lang w:val="mn-MN"/>
        </w:rPr>
        <w:t>）</w:t>
      </w:r>
      <w:r>
        <w:rPr>
          <w:rStyle w:val="143"/>
          <w:bCs/>
          <w:szCs w:val="21"/>
          <w:cs/>
          <w:lang w:val="mn-MN"/>
        </w:rPr>
        <w:t xml:space="preserve"> </w:t>
      </w:r>
      <w:r>
        <w:rPr>
          <w:rStyle w:val="143"/>
          <w:bCs/>
          <w:szCs w:val="21"/>
          <w:cs/>
          <w:lang w:val="mn-MN"/>
        </w:rPr>
        <w:fldChar w:fldCharType="end"/>
      </w:r>
      <w:r>
        <w:rPr>
          <w:bCs/>
          <w:szCs w:val="21"/>
          <w:cs/>
          <w:lang w:val="mn-MN"/>
        </w:rPr>
        <w:t xml:space="preserve">хаягаар илгээнэ. </w:t>
      </w:r>
    </w:p>
    <w:p>
      <w:pPr>
        <w:spacing w:line="360" w:lineRule="auto"/>
        <w:ind w:left="480" w:firstLine="420" w:firstLineChars="200"/>
        <w:rPr>
          <w:bCs/>
          <w:szCs w:val="21"/>
        </w:rPr>
      </w:pPr>
      <w:r>
        <w:rPr>
          <w:bCs/>
          <w:szCs w:val="21"/>
        </w:rPr>
        <w:t>请将以上投标文件电子版1份于递交投标文件截止时间前发送至新鑫公司报价邮箱（xinxinoffice@gmail.com）；。</w:t>
      </w:r>
      <w:bookmarkStart w:id="20" w:name="_Toc461108838"/>
    </w:p>
    <w:p>
      <w:pPr>
        <w:pStyle w:val="4"/>
        <w:numPr>
          <w:ilvl w:val="0"/>
          <w:numId w:val="17"/>
        </w:numPr>
        <w:spacing w:line="360" w:lineRule="auto"/>
        <w:ind w:left="900" w:firstLine="840"/>
        <w:rPr>
          <w:rFonts w:ascii="Times New Roman" w:hAnsi="Times New Roman" w:eastAsia="宋体" w:cs="Times New Roman"/>
          <w:bCs/>
          <w:sz w:val="21"/>
          <w:szCs w:val="21"/>
        </w:rPr>
      </w:pPr>
      <w:bookmarkStart w:id="21" w:name="_Toc8510"/>
      <w:bookmarkStart w:id="22" w:name="_Toc183017242"/>
      <w:r>
        <w:rPr>
          <w:rFonts w:ascii="Times New Roman" w:hAnsi="Times New Roman" w:eastAsia="宋体" w:cs="Times New Roman"/>
          <w:bCs/>
          <w:sz w:val="21"/>
          <w:szCs w:val="21"/>
          <w:cs/>
          <w:lang w:val="mn-MN"/>
        </w:rPr>
        <w:t xml:space="preserve">Бусад зүйл </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其他事项</w:t>
      </w:r>
      <w:bookmarkEnd w:id="21"/>
      <w:bookmarkEnd w:id="22"/>
    </w:p>
    <w:p>
      <w:pPr>
        <w:tabs>
          <w:tab w:val="right" w:leader="middleDot" w:pos="8640"/>
        </w:tabs>
        <w:spacing w:line="360" w:lineRule="auto"/>
        <w:ind w:left="480" w:firstLine="420" w:firstLineChars="200"/>
        <w:rPr>
          <w:bCs/>
          <w:szCs w:val="21"/>
        </w:rPr>
      </w:pPr>
      <w:r>
        <w:rPr>
          <w:kern w:val="0"/>
          <w:szCs w:val="21"/>
          <w:cs/>
          <w:lang w:val="mn-MN"/>
        </w:rPr>
        <w:t xml:space="preserve">Байхгүй/ </w:t>
      </w:r>
      <w:r>
        <w:rPr>
          <w:kern w:val="0"/>
          <w:szCs w:val="21"/>
        </w:rPr>
        <w:t>无。</w:t>
      </w:r>
    </w:p>
    <w:p>
      <w:pPr>
        <w:spacing w:line="360" w:lineRule="auto"/>
        <w:ind w:left="480" w:firstLine="480" w:firstLineChars="200"/>
        <w:rPr>
          <w:rFonts w:ascii="宋体" w:hAnsi="宋体"/>
          <w:bCs/>
          <w:sz w:val="24"/>
        </w:rPr>
      </w:pPr>
    </w:p>
    <w:p>
      <w:pPr>
        <w:spacing w:line="360" w:lineRule="auto"/>
        <w:ind w:left="480" w:firstLine="480" w:firstLineChars="200"/>
        <w:rPr>
          <w:bCs/>
          <w:sz w:val="24"/>
          <w:lang w:val="mn-MN"/>
        </w:rPr>
      </w:pPr>
      <w:r>
        <w:rPr>
          <w:rFonts w:ascii="宋体" w:hAnsi="宋体"/>
          <w:bCs/>
          <w:sz w:val="24"/>
          <w:cs/>
          <w:lang w:val="mn-MN"/>
        </w:rPr>
        <w:t xml:space="preserve">                                     </w:t>
      </w:r>
      <w:r>
        <w:rPr>
          <w:bCs/>
          <w:sz w:val="24"/>
          <w:cs/>
          <w:lang w:val="mn-MN"/>
        </w:rPr>
        <w:t>Хоёр. Тендэрийн техникийн шаардлага</w:t>
      </w:r>
    </w:p>
    <w:p>
      <w:pPr>
        <w:pStyle w:val="3"/>
        <w:spacing w:line="360" w:lineRule="auto"/>
        <w:ind w:left="480" w:firstLine="1280"/>
        <w:jc w:val="center"/>
        <w:rPr>
          <w:rFonts w:ascii="宋体" w:hAnsi="宋体" w:eastAsia="宋体" w:cs="宋体"/>
          <w:kern w:val="0"/>
          <w:sz w:val="32"/>
          <w:szCs w:val="32"/>
        </w:rPr>
      </w:pPr>
      <w:bookmarkStart w:id="23" w:name="_Toc183017243"/>
      <w:bookmarkStart w:id="24" w:name="_Toc11954"/>
      <w:r>
        <w:rPr>
          <w:rFonts w:hint="eastAsia" w:ascii="宋体" w:hAnsi="宋体" w:eastAsia="宋体"/>
          <w:b/>
          <w:sz w:val="32"/>
          <w:szCs w:val="32"/>
        </w:rPr>
        <w:t>二、招标技术</w:t>
      </w:r>
      <w:bookmarkEnd w:id="20"/>
      <w:r>
        <w:rPr>
          <w:rFonts w:hint="eastAsia" w:ascii="宋体" w:hAnsi="宋体" w:eastAsia="宋体"/>
          <w:b/>
          <w:sz w:val="32"/>
          <w:szCs w:val="32"/>
        </w:rPr>
        <w:t>要求</w:t>
      </w:r>
      <w:bookmarkEnd w:id="23"/>
      <w:bookmarkEnd w:id="24"/>
    </w:p>
    <w:p>
      <w:pPr>
        <w:pStyle w:val="4"/>
        <w:numPr>
          <w:ilvl w:val="0"/>
          <w:numId w:val="0"/>
        </w:numPr>
        <w:spacing w:line="360" w:lineRule="auto"/>
        <w:rPr>
          <w:rFonts w:ascii="宋体" w:eastAsia="宋体"/>
          <w:bCs/>
          <w:sz w:val="24"/>
          <w:cs/>
          <w:lang w:val="mn-MN"/>
        </w:rPr>
      </w:pPr>
      <w:bookmarkStart w:id="25" w:name="_Toc461108839"/>
      <w:bookmarkStart w:id="26" w:name="_Toc183017244"/>
      <w:bookmarkStart w:id="27" w:name="_Toc31632"/>
      <w:r>
        <w:rPr>
          <w:rFonts w:hint="eastAsia" w:ascii="宋体" w:eastAsia="宋体"/>
          <w:bCs/>
          <w:sz w:val="24"/>
        </w:rPr>
        <w:t>1</w:t>
      </w:r>
      <w:r>
        <w:rPr>
          <w:rFonts w:ascii="宋体" w:eastAsia="宋体"/>
          <w:bCs/>
          <w:sz w:val="24"/>
          <w:cs/>
          <w:lang w:val="mn-MN"/>
        </w:rPr>
        <w:t>.</w:t>
      </w:r>
      <w:r>
        <w:rPr>
          <w:rFonts w:ascii="Times New Roman" w:hAnsi="Times New Roman" w:cs="Times New Roman" w:eastAsiaTheme="minorEastAsia"/>
          <w:bCs/>
          <w:sz w:val="24"/>
          <w:cs/>
          <w:lang w:val="mn-MN"/>
        </w:rPr>
        <w:t xml:space="preserve">Төслийн танилцуулга </w:t>
      </w:r>
      <w:r>
        <w:rPr>
          <w:rFonts w:ascii="宋体" w:eastAsia="宋体"/>
          <w:bCs/>
          <w:sz w:val="24"/>
          <w:cs/>
          <w:lang w:val="mn-MN"/>
        </w:rPr>
        <w:t xml:space="preserve"> </w:t>
      </w:r>
    </w:p>
    <w:p>
      <w:pPr>
        <w:pStyle w:val="4"/>
        <w:numPr>
          <w:ilvl w:val="0"/>
          <w:numId w:val="0"/>
        </w:numPr>
        <w:spacing w:line="360" w:lineRule="auto"/>
        <w:rPr>
          <w:rFonts w:ascii="宋体" w:eastAsia="宋体"/>
          <w:bCs/>
          <w:sz w:val="24"/>
        </w:rPr>
      </w:pPr>
      <w:r>
        <w:rPr>
          <w:rFonts w:hint="eastAsia" w:ascii="宋体" w:eastAsia="宋体"/>
          <w:bCs/>
          <w:sz w:val="24"/>
        </w:rPr>
        <w:t>项目简介</w:t>
      </w:r>
      <w:bookmarkEnd w:id="25"/>
      <w:bookmarkEnd w:id="26"/>
      <w:bookmarkEnd w:id="27"/>
    </w:p>
    <w:p>
      <w:pPr>
        <w:ind w:left="480" w:firstLine="840"/>
        <w:rPr>
          <w:sz w:val="24"/>
          <w:lang w:val="mn-MN"/>
        </w:rPr>
      </w:pPr>
      <w:r>
        <w:rPr>
          <w:bCs/>
          <w:sz w:val="24"/>
          <w:cs/>
          <w:lang w:val="mn-MN"/>
        </w:rPr>
        <w:t xml:space="preserve">Шинь шинь ХХК  нь МУ, Дорнод аймагт хар тугалга, цайр олборлож, баяжуулан үйлдвэрлэдэг томоохон аж ахуйн нэгж юм. </w:t>
      </w:r>
    </w:p>
    <w:p>
      <w:pPr>
        <w:spacing w:line="360" w:lineRule="auto"/>
        <w:ind w:left="480" w:firstLine="480" w:firstLineChars="200"/>
        <w:rPr>
          <w:color w:val="C00000"/>
          <w:sz w:val="24"/>
        </w:rPr>
      </w:pPr>
      <w:bookmarkStart w:id="28" w:name="_Toc461108840"/>
      <w:r>
        <w:rPr>
          <w:sz w:val="24"/>
        </w:rPr>
        <w:t>新鑫有限责任公司是蒙古国东方省从事铅锌矿石开采和加工的大型采选企业。</w:t>
      </w:r>
    </w:p>
    <w:p>
      <w:pPr>
        <w:pStyle w:val="4"/>
        <w:numPr>
          <w:ilvl w:val="0"/>
          <w:numId w:val="0"/>
        </w:numPr>
        <w:spacing w:line="360" w:lineRule="auto"/>
        <w:rPr>
          <w:rFonts w:ascii="Times New Roman" w:hAnsi="Times New Roman" w:eastAsia="宋体" w:cs="Times New Roman"/>
          <w:bCs/>
          <w:sz w:val="24"/>
          <w:szCs w:val="24"/>
        </w:rPr>
      </w:pPr>
      <w:bookmarkStart w:id="29" w:name="_Toc183017245"/>
      <w:bookmarkStart w:id="30" w:name="_Toc8182"/>
      <w:r>
        <w:rPr>
          <w:rFonts w:hint="eastAsia" w:ascii="Times New Roman" w:hAnsi="Times New Roman" w:eastAsia="宋体" w:cs="Times New Roman"/>
          <w:bCs/>
          <w:sz w:val="24"/>
          <w:szCs w:val="24"/>
          <w:cs w:val="0"/>
          <w:lang w:val="en-US" w:eastAsia="zh-CN"/>
        </w:rPr>
        <w:t>2.</w:t>
      </w:r>
      <w:r>
        <w:rPr>
          <w:rFonts w:ascii="Times New Roman" w:hAnsi="Times New Roman" w:eastAsia="宋体" w:cs="Times New Roman"/>
          <w:bCs/>
          <w:sz w:val="24"/>
          <w:szCs w:val="24"/>
          <w:cs/>
          <w:lang w:val="mn-MN"/>
        </w:rPr>
        <w:t>Газарзүйн байрлал болон цаг агаарын танилцуулга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地理位置及气候简介</w:t>
      </w:r>
      <w:bookmarkEnd w:id="28"/>
      <w:bookmarkEnd w:id="29"/>
      <w:bookmarkEnd w:id="30"/>
    </w:p>
    <w:p>
      <w:pPr>
        <w:widowControl/>
        <w:spacing w:line="360" w:lineRule="auto"/>
        <w:ind w:left="480" w:firstLine="480" w:firstLineChars="200"/>
        <w:rPr>
          <w:sz w:val="24"/>
          <w:lang w:val="mn-MN"/>
        </w:rPr>
      </w:pPr>
      <w:r>
        <w:rPr>
          <w:bCs/>
          <w:sz w:val="24"/>
          <w:cs/>
          <w:lang w:val="mn-MN"/>
        </w:rPr>
        <w:t xml:space="preserve">Шинь шинь ХХК нь МУ, Дорнод аймаг, Дашбалбар сумын нутаг, Чойбалсан хотоос </w:t>
      </w:r>
      <w:r>
        <w:rPr>
          <w:rFonts w:hint="eastAsia"/>
          <w:bCs/>
          <w:sz w:val="24"/>
          <w:cs w:val="0"/>
          <w:lang w:val="en-US" w:eastAsia="zh-CN"/>
        </w:rPr>
        <w:t>245</w:t>
      </w:r>
      <w:r>
        <w:rPr>
          <w:bCs/>
          <w:sz w:val="24"/>
          <w:cs/>
          <w:lang w:val="mn-MN"/>
        </w:rPr>
        <w:t xml:space="preserve">км, Улаанбаатар хотоос 780км, Архашаат-Хавирга хилийн боомтоос 190км-т байдаг. Уурхай бүсийн эзлэх талбай 150000м/кв. </w:t>
      </w:r>
    </w:p>
    <w:p>
      <w:pPr>
        <w:widowControl/>
        <w:spacing w:line="360" w:lineRule="auto"/>
        <w:ind w:left="480" w:firstLine="480" w:firstLineChars="200"/>
        <w:rPr>
          <w:bCs/>
          <w:sz w:val="24"/>
        </w:rPr>
      </w:pPr>
      <w:r>
        <w:rPr>
          <w:sz w:val="24"/>
        </w:rPr>
        <w:t>新鑫有限责任公司位于蒙古国东方省达西县，距乔巴山125公里，距乌兰巴托780公里，距中蒙阿日哈沙特——哈比日嘎口岸</w:t>
      </w:r>
      <w:r>
        <w:rPr>
          <w:rFonts w:hint="eastAsia"/>
          <w:sz w:val="24"/>
          <w:lang w:val="en-US" w:eastAsia="zh-CN"/>
        </w:rPr>
        <w:t>245</w:t>
      </w:r>
      <w:r>
        <w:rPr>
          <w:sz w:val="24"/>
        </w:rPr>
        <w:t>公里，矿区占地面积15万平方米。</w:t>
      </w:r>
    </w:p>
    <w:p>
      <w:pPr>
        <w:pStyle w:val="4"/>
        <w:numPr>
          <w:ilvl w:val="0"/>
          <w:numId w:val="0"/>
        </w:numPr>
        <w:spacing w:line="360" w:lineRule="auto"/>
        <w:rPr>
          <w:rFonts w:ascii="Times New Roman" w:hAnsi="Times New Roman" w:eastAsia="宋体" w:cs="Times New Roman"/>
          <w:bCs/>
          <w:sz w:val="24"/>
          <w:szCs w:val="24"/>
          <w:lang w:val="mn-MN"/>
        </w:rPr>
      </w:pPr>
      <w:bookmarkStart w:id="31" w:name="_Toc183017246"/>
      <w:bookmarkStart w:id="32" w:name="_Toc4535"/>
      <w:r>
        <w:rPr>
          <w:rFonts w:ascii="Times New Roman" w:hAnsi="Times New Roman" w:eastAsia="宋体" w:cs="Times New Roman"/>
          <w:bCs/>
          <w:sz w:val="24"/>
          <w:szCs w:val="24"/>
        </w:rPr>
        <w:t xml:space="preserve">3. </w:t>
      </w:r>
      <w:r>
        <w:rPr>
          <w:rFonts w:ascii="Times New Roman" w:hAnsi="Times New Roman" w:eastAsia="宋体" w:cs="Times New Roman"/>
          <w:bCs/>
          <w:sz w:val="24"/>
          <w:szCs w:val="24"/>
          <w:cs/>
          <w:lang w:val="mn-MN"/>
        </w:rPr>
        <w:t>Тээвэрлэх шаардлага</w:t>
      </w:r>
    </w:p>
    <w:p>
      <w:pPr>
        <w:pStyle w:val="4"/>
        <w:numPr>
          <w:ilvl w:val="0"/>
          <w:numId w:val="0"/>
        </w:numPr>
        <w:spacing w:line="360" w:lineRule="auto"/>
        <w:rPr>
          <w:rFonts w:ascii="Times New Roman" w:hAnsi="Times New Roman" w:eastAsia="宋体" w:cs="Times New Roman"/>
          <w:bCs/>
          <w:sz w:val="24"/>
          <w:szCs w:val="24"/>
          <w:lang w:val="mn-MN"/>
        </w:rPr>
      </w:pPr>
      <w:r>
        <w:rPr>
          <w:rFonts w:ascii="Times New Roman" w:hAnsi="Times New Roman" w:eastAsia="宋体" w:cs="Times New Roman"/>
          <w:bCs/>
          <w:sz w:val="24"/>
          <w:szCs w:val="24"/>
        </w:rPr>
        <w:t>运输需求</w:t>
      </w:r>
      <w:bookmarkEnd w:id="31"/>
      <w:r>
        <w:rPr>
          <w:rFonts w:ascii="Times New Roman" w:hAnsi="Times New Roman" w:eastAsia="宋体" w:cs="Times New Roman"/>
          <w:bCs/>
          <w:sz w:val="24"/>
          <w:szCs w:val="24"/>
          <w:lang w:val="mn-MN"/>
        </w:rPr>
        <w:t xml:space="preserve"> </w:t>
      </w:r>
    </w:p>
    <w:p>
      <w:pPr>
        <w:rPr>
          <w:lang w:val="mn-MN"/>
        </w:rPr>
      </w:pPr>
      <w:r>
        <w:rPr>
          <w:lang w:val="mn-MN"/>
        </w:rPr>
        <w:t xml:space="preserve">       Баяжмал тээвэрлэлтийн жилийн хэмжээ урьдчилсан байдлаар 66000 тн </w:t>
      </w:r>
      <w:r>
        <w:rPr>
          <w:rFonts w:hint="eastAsia"/>
          <w:lang w:val="mn-MN"/>
        </w:rPr>
        <w:t>（</w:t>
      </w:r>
      <w:r>
        <w:rPr>
          <w:lang w:val="mn-MN"/>
        </w:rPr>
        <w:t xml:space="preserve">Татвар багтсан </w:t>
      </w:r>
      <w:r>
        <w:rPr>
          <w:rFonts w:hint="eastAsia"/>
          <w:lang w:val="mn-MN"/>
        </w:rPr>
        <w:t>）</w:t>
      </w:r>
      <w:r>
        <w:rPr>
          <w:lang w:val="mn-MN"/>
        </w:rPr>
        <w:t xml:space="preserve">байх бөгөөд бодит тээвэрлэлтийн хэмжээ нь </w:t>
      </w:r>
      <w:r>
        <w:t>±15%</w:t>
      </w:r>
      <w:r>
        <w:rPr>
          <w:lang w:val="mn-MN"/>
        </w:rPr>
        <w:t xml:space="preserve"> байж болно. </w:t>
      </w:r>
    </w:p>
    <w:p>
      <w:pPr>
        <w:spacing w:line="360" w:lineRule="auto"/>
        <w:ind w:left="480" w:firstLine="240" w:firstLineChars="100"/>
        <w:rPr>
          <w:sz w:val="24"/>
        </w:rPr>
      </w:pPr>
      <w:r>
        <w:rPr>
          <w:rFonts w:hint="eastAsia"/>
          <w:sz w:val="24"/>
        </w:rPr>
        <w:t>汽车</w:t>
      </w:r>
      <w:r>
        <w:rPr>
          <w:sz w:val="24"/>
        </w:rPr>
        <w:t>运输</w:t>
      </w:r>
      <w:r>
        <w:rPr>
          <w:rFonts w:hint="eastAsia"/>
          <w:sz w:val="24"/>
        </w:rPr>
        <w:t>精矿粉约</w:t>
      </w:r>
      <w:r>
        <w:rPr>
          <w:rFonts w:hint="eastAsia"/>
          <w:sz w:val="24"/>
          <w:lang w:val="en-US" w:eastAsia="zh-CN"/>
        </w:rPr>
        <w:t>15</w:t>
      </w:r>
      <w:r>
        <w:rPr>
          <w:sz w:val="24"/>
        </w:rPr>
        <w:t>000吨（含税），实际运输时，数量根据需要可做±15%调整；</w:t>
      </w:r>
    </w:p>
    <w:bookmarkEnd w:id="32"/>
    <w:p>
      <w:pPr>
        <w:pStyle w:val="4"/>
        <w:numPr>
          <w:ilvl w:val="0"/>
          <w:numId w:val="0"/>
        </w:numPr>
        <w:spacing w:line="360" w:lineRule="auto"/>
        <w:rPr>
          <w:rFonts w:ascii="Times New Roman" w:hAnsi="Times New Roman" w:eastAsia="宋体" w:cs="Times New Roman"/>
          <w:bCs/>
          <w:sz w:val="24"/>
          <w:szCs w:val="24"/>
          <w:cs/>
          <w:lang w:val="mn-MN"/>
        </w:rPr>
      </w:pPr>
      <w:bookmarkStart w:id="33" w:name="_Toc183017247"/>
      <w:bookmarkStart w:id="34" w:name="_Toc2802"/>
      <w:bookmarkStart w:id="35" w:name="_Toc461108843"/>
      <w:r>
        <w:rPr>
          <w:rFonts w:ascii="Times New Roman" w:hAnsi="Times New Roman" w:eastAsia="宋体" w:cs="Times New Roman"/>
          <w:bCs/>
          <w:sz w:val="24"/>
          <w:szCs w:val="24"/>
          <w:cs/>
          <w:lang w:val="mn-MN"/>
        </w:rPr>
        <w:t>4.Техникийн стандарт</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技术标准</w:t>
      </w:r>
      <w:bookmarkEnd w:id="33"/>
      <w:bookmarkEnd w:id="34"/>
    </w:p>
    <w:p>
      <w:pPr>
        <w:pStyle w:val="4"/>
        <w:numPr>
          <w:ilvl w:val="0"/>
          <w:numId w:val="0"/>
        </w:numPr>
        <w:spacing w:line="360" w:lineRule="auto"/>
        <w:ind w:firstLine="723" w:firstLineChars="300"/>
        <w:rPr>
          <w:rFonts w:ascii="Times New Roman" w:hAnsi="Times New Roman" w:cs="Times New Roman"/>
          <w:sz w:val="24"/>
          <w:szCs w:val="24"/>
          <w:lang w:val="mn-MN"/>
        </w:rPr>
      </w:pPr>
      <w:r>
        <w:rPr>
          <w:rFonts w:ascii="Times New Roman" w:hAnsi="Times New Roman" w:cs="Times New Roman"/>
          <w:bCs/>
          <w:sz w:val="24"/>
          <w:szCs w:val="24"/>
          <w:cs/>
          <w:lang w:val="mn-MN"/>
        </w:rPr>
        <w:t xml:space="preserve">Тээврийн хэрэгслүүд нь </w:t>
      </w:r>
      <w:r>
        <w:rPr>
          <w:rFonts w:ascii="Times New Roman" w:hAnsi="Times New Roman" w:cs="Times New Roman"/>
          <w:sz w:val="24"/>
          <w:szCs w:val="24"/>
          <w:cs/>
        </w:rPr>
        <w:t>"</w:t>
      </w:r>
      <w:r>
        <w:rPr>
          <w:rFonts w:ascii="Times New Roman" w:hAnsi="Times New Roman" w:cs="Times New Roman"/>
          <w:bCs/>
          <w:sz w:val="24"/>
          <w:szCs w:val="24"/>
          <w:cs/>
          <w:lang w:val="mn-MN"/>
        </w:rPr>
        <w:t>Тээвэрлэлт тоног төхөөрөмж ,техникийн журам</w:t>
      </w:r>
      <w:r>
        <w:rPr>
          <w:rFonts w:ascii="Times New Roman" w:hAnsi="Times New Roman" w:cs="Times New Roman"/>
          <w:sz w:val="24"/>
          <w:szCs w:val="24"/>
          <w:cs/>
        </w:rPr>
        <w:t xml:space="preserve">" </w:t>
      </w:r>
      <w:r>
        <w:rPr>
          <w:rFonts w:ascii="Times New Roman" w:hAnsi="Times New Roman" w:cs="Times New Roman"/>
          <w:sz w:val="24"/>
          <w:szCs w:val="24"/>
        </w:rPr>
        <w:t>MNS4598:2020</w:t>
      </w:r>
      <w:r>
        <w:rPr>
          <w:rFonts w:ascii="Times New Roman" w:hAnsi="Times New Roman" w:cs="Times New Roman"/>
          <w:sz w:val="24"/>
          <w:szCs w:val="24"/>
          <w:cs/>
          <w:lang w:val="mn-MN"/>
        </w:rPr>
        <w:t xml:space="preserve"> стандартын шаардлага хангах.</w:t>
      </w:r>
    </w:p>
    <w:p>
      <w:pPr>
        <w:ind w:left="480" w:firstLine="964"/>
        <w:rPr>
          <w:sz w:val="24"/>
        </w:rPr>
      </w:pPr>
      <w:r>
        <w:rPr>
          <w:sz w:val="24"/>
        </w:rPr>
        <w:t>投入运营车辆必须符合《运输设备技术规范》MNS4598:2020要求。</w:t>
      </w:r>
    </w:p>
    <w:p>
      <w:pPr>
        <w:ind w:left="480" w:firstLine="964"/>
        <w:rPr>
          <w:sz w:val="24"/>
        </w:rPr>
      </w:pPr>
    </w:p>
    <w:p>
      <w:pPr>
        <w:ind w:left="480" w:firstLine="843"/>
        <w:jc w:val="center"/>
        <w:rPr>
          <w:b/>
          <w:sz w:val="24"/>
          <w:lang w:val="mn-MN"/>
        </w:rPr>
      </w:pPr>
      <w:r>
        <w:rPr>
          <w:b/>
          <w:sz w:val="24"/>
          <w:cs/>
          <w:lang w:val="mn-MN"/>
        </w:rPr>
        <w:t>Гурав. Тендэрийн бичиг баримт</w:t>
      </w:r>
    </w:p>
    <w:p>
      <w:pPr>
        <w:pStyle w:val="3"/>
        <w:spacing w:line="360" w:lineRule="auto"/>
        <w:ind w:left="480" w:firstLine="960"/>
        <w:jc w:val="center"/>
        <w:rPr>
          <w:rFonts w:ascii="Times New Roman" w:eastAsia="宋体"/>
          <w:b/>
          <w:sz w:val="24"/>
          <w:szCs w:val="24"/>
        </w:rPr>
      </w:pPr>
      <w:bookmarkStart w:id="36" w:name="_Toc183017248"/>
      <w:bookmarkStart w:id="37" w:name="_Toc2818"/>
      <w:r>
        <w:rPr>
          <w:rFonts w:ascii="Times New Roman" w:eastAsia="宋体"/>
          <w:b/>
          <w:sz w:val="24"/>
          <w:szCs w:val="24"/>
        </w:rPr>
        <w:t>三、招标文件</w:t>
      </w:r>
      <w:bookmarkEnd w:id="36"/>
      <w:bookmarkEnd w:id="37"/>
    </w:p>
    <w:p>
      <w:pPr>
        <w:pStyle w:val="4"/>
        <w:numPr>
          <w:ilvl w:val="0"/>
          <w:numId w:val="0"/>
        </w:numPr>
        <w:tabs>
          <w:tab w:val="clear" w:pos="960"/>
          <w:tab w:val="clear" w:pos="1050"/>
        </w:tabs>
        <w:spacing w:line="360" w:lineRule="auto"/>
        <w:rPr>
          <w:rFonts w:ascii="Times New Roman" w:hAnsi="Times New Roman" w:eastAsia="宋体" w:cs="Times New Roman"/>
          <w:b/>
          <w:bCs w:val="0"/>
          <w:sz w:val="24"/>
          <w:szCs w:val="24"/>
          <w:cs/>
          <w:lang w:val="mn-MN"/>
        </w:rPr>
      </w:pPr>
      <w:bookmarkStart w:id="38" w:name="_Toc183017249"/>
      <w:bookmarkStart w:id="39" w:name="_Toc317"/>
      <w:r>
        <w:rPr>
          <w:rFonts w:ascii="Times New Roman" w:hAnsi="Times New Roman" w:eastAsia="宋体" w:cs="Times New Roman"/>
          <w:b/>
          <w:bCs w:val="0"/>
          <w:sz w:val="24"/>
          <w:szCs w:val="24"/>
        </w:rPr>
        <w:t>1</w:t>
      </w:r>
      <w:r>
        <w:rPr>
          <w:rFonts w:ascii="Times New Roman" w:hAnsi="Times New Roman" w:eastAsia="宋体" w:cs="Times New Roman"/>
          <w:b/>
          <w:bCs w:val="0"/>
          <w:sz w:val="24"/>
          <w:szCs w:val="24"/>
          <w:cs/>
          <w:lang w:val="mn-MN"/>
        </w:rPr>
        <w:t>. Тендэрийн бичиг баримтын бүрэлдэхүүн</w:t>
      </w:r>
    </w:p>
    <w:p>
      <w:pPr>
        <w:pStyle w:val="4"/>
        <w:numPr>
          <w:ilvl w:val="0"/>
          <w:numId w:val="0"/>
        </w:numPr>
        <w:spacing w:line="360" w:lineRule="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招标文件的组成</w:t>
      </w:r>
      <w:bookmarkEnd w:id="38"/>
      <w:bookmarkEnd w:id="39"/>
    </w:p>
    <w:p>
      <w:pPr>
        <w:ind w:left="480"/>
        <w:rPr>
          <w:sz w:val="24"/>
          <w:lang w:val="mn-MN"/>
        </w:rPr>
      </w:pPr>
      <w:r>
        <w:rPr>
          <w:sz w:val="24"/>
          <w:cs/>
          <w:lang w:val="mn-MN"/>
        </w:rPr>
        <w:t xml:space="preserve">         Тендэрийн бичиг баримтанд шаардлагатай бараа, тендэр зарлах, тендэрт оролцох үйл явц болон гэрээний нөхцөл. Тендэр нь дараах бичиг баримтаас бүрдэнэ. </w:t>
      </w:r>
    </w:p>
    <w:p>
      <w:pPr>
        <w:widowControl/>
        <w:spacing w:line="360" w:lineRule="auto"/>
        <w:ind w:left="480" w:firstLine="480" w:firstLineChars="200"/>
        <w:rPr>
          <w:bCs/>
          <w:sz w:val="24"/>
        </w:rPr>
      </w:pPr>
      <w:r>
        <w:rPr>
          <w:bCs/>
          <w:sz w:val="24"/>
        </w:rPr>
        <w:t>招标文件用以阐明所需物资、招投标程序和合同条款。招标文件由以下部分组成：</w:t>
      </w:r>
    </w:p>
    <w:p>
      <w:pPr>
        <w:widowControl/>
        <w:tabs>
          <w:tab w:val="center" w:pos="4535"/>
        </w:tabs>
        <w:spacing w:line="360" w:lineRule="auto"/>
        <w:ind w:left="480" w:firstLine="480" w:firstLineChars="200"/>
        <w:rPr>
          <w:bCs/>
          <w:sz w:val="24"/>
          <w:lang w:val="mn-MN"/>
        </w:rPr>
      </w:pPr>
      <w:r>
        <w:rPr>
          <w:bCs/>
          <w:sz w:val="24"/>
        </w:rPr>
        <w:t xml:space="preserve">（1） </w:t>
      </w:r>
      <w:r>
        <w:rPr>
          <w:bCs/>
          <w:sz w:val="24"/>
          <w:cs/>
          <w:lang w:val="mn-MN"/>
        </w:rPr>
        <w:t>Тендэрт оролцогчийн мэдвэл зохих зүйл</w:t>
      </w:r>
    </w:p>
    <w:p>
      <w:pPr>
        <w:widowControl/>
        <w:tabs>
          <w:tab w:val="center" w:pos="4535"/>
        </w:tabs>
        <w:spacing w:line="360" w:lineRule="auto"/>
        <w:ind w:left="480" w:firstLine="480" w:firstLineChars="200"/>
        <w:rPr>
          <w:bCs/>
          <w:sz w:val="24"/>
        </w:rPr>
      </w:pPr>
      <w:r>
        <w:rPr>
          <w:bCs/>
          <w:sz w:val="24"/>
        </w:rPr>
        <w:t>投标人须知</w:t>
      </w:r>
    </w:p>
    <w:p>
      <w:pPr>
        <w:widowControl/>
        <w:spacing w:line="360" w:lineRule="auto"/>
        <w:ind w:left="480" w:firstLine="480" w:firstLineChars="200"/>
        <w:rPr>
          <w:bCs/>
          <w:sz w:val="24"/>
          <w:lang w:val="mn-MN"/>
        </w:rPr>
      </w:pPr>
      <w:r>
        <w:rPr>
          <w:bCs/>
          <w:sz w:val="24"/>
        </w:rPr>
        <w:t xml:space="preserve">（2） </w:t>
      </w:r>
      <w:r>
        <w:rPr>
          <w:bCs/>
          <w:sz w:val="24"/>
          <w:cs/>
          <w:lang w:val="mn-MN"/>
        </w:rPr>
        <w:t>Худалдан авах хэрэгцээ болон техникийн стандарт</w:t>
      </w:r>
    </w:p>
    <w:p>
      <w:pPr>
        <w:widowControl/>
        <w:spacing w:line="360" w:lineRule="auto"/>
        <w:ind w:left="480" w:firstLine="480" w:firstLineChars="200"/>
        <w:rPr>
          <w:bCs/>
          <w:sz w:val="24"/>
        </w:rPr>
      </w:pPr>
      <w:r>
        <w:rPr>
          <w:bCs/>
          <w:sz w:val="24"/>
        </w:rPr>
        <w:t>采购需求及技术规格</w:t>
      </w:r>
    </w:p>
    <w:p>
      <w:pPr>
        <w:widowControl/>
        <w:spacing w:line="360" w:lineRule="auto"/>
        <w:ind w:left="480" w:firstLine="480" w:firstLineChars="200"/>
        <w:rPr>
          <w:bCs/>
          <w:sz w:val="24"/>
          <w:lang w:val="mn-MN"/>
        </w:rPr>
      </w:pPr>
      <w:r>
        <w:rPr>
          <w:bCs/>
          <w:sz w:val="24"/>
        </w:rPr>
        <w:t xml:space="preserve">（3） </w:t>
      </w:r>
      <w:r>
        <w:rPr>
          <w:bCs/>
          <w:sz w:val="24"/>
          <w:cs/>
          <w:lang w:val="mn-MN"/>
        </w:rPr>
        <w:t>Тендэр зарлах бичиг баримт</w:t>
      </w:r>
    </w:p>
    <w:p>
      <w:pPr>
        <w:widowControl/>
        <w:spacing w:line="360" w:lineRule="auto"/>
        <w:ind w:left="480" w:firstLine="480" w:firstLineChars="200"/>
        <w:rPr>
          <w:bCs/>
          <w:sz w:val="24"/>
        </w:rPr>
      </w:pPr>
      <w:r>
        <w:rPr>
          <w:bCs/>
          <w:sz w:val="24"/>
        </w:rPr>
        <w:t>招标文件</w:t>
      </w:r>
    </w:p>
    <w:p>
      <w:pPr>
        <w:widowControl/>
        <w:spacing w:line="360" w:lineRule="auto"/>
        <w:ind w:left="480" w:firstLine="480" w:firstLineChars="200"/>
        <w:rPr>
          <w:bCs/>
          <w:sz w:val="24"/>
          <w:lang w:val="mn-MN"/>
        </w:rPr>
      </w:pPr>
      <w:r>
        <w:rPr>
          <w:bCs/>
          <w:sz w:val="24"/>
        </w:rPr>
        <w:t xml:space="preserve">（4） </w:t>
      </w:r>
      <w:r>
        <w:rPr>
          <w:bCs/>
          <w:sz w:val="24"/>
          <w:cs/>
          <w:lang w:val="mn-MN"/>
        </w:rPr>
        <w:t>Тендэрт оролцох бичиг баримт</w:t>
      </w:r>
    </w:p>
    <w:p>
      <w:pPr>
        <w:widowControl/>
        <w:spacing w:line="360" w:lineRule="auto"/>
        <w:ind w:left="480" w:firstLine="480" w:firstLineChars="200"/>
        <w:rPr>
          <w:bCs/>
          <w:sz w:val="24"/>
        </w:rPr>
      </w:pPr>
      <w:r>
        <w:rPr>
          <w:bCs/>
          <w:sz w:val="24"/>
        </w:rPr>
        <w:t>投标文件</w:t>
      </w:r>
    </w:p>
    <w:p>
      <w:pPr>
        <w:widowControl/>
        <w:spacing w:line="360" w:lineRule="auto"/>
        <w:ind w:left="480" w:firstLine="480" w:firstLineChars="200"/>
        <w:rPr>
          <w:bCs/>
          <w:sz w:val="24"/>
          <w:lang w:val="mn-MN"/>
        </w:rPr>
      </w:pPr>
      <w:r>
        <w:rPr>
          <w:bCs/>
          <w:sz w:val="24"/>
        </w:rPr>
        <w:t xml:space="preserve">（5） </w:t>
      </w:r>
      <w:r>
        <w:rPr>
          <w:bCs/>
          <w:sz w:val="24"/>
          <w:cs/>
          <w:lang w:val="mn-MN"/>
        </w:rPr>
        <w:t>Тендэр нээх болон үнэлэх</w:t>
      </w:r>
    </w:p>
    <w:p>
      <w:pPr>
        <w:widowControl/>
        <w:spacing w:line="360" w:lineRule="auto"/>
        <w:ind w:left="480" w:firstLine="480" w:firstLineChars="200"/>
        <w:rPr>
          <w:bCs/>
          <w:sz w:val="24"/>
        </w:rPr>
      </w:pPr>
      <w:r>
        <w:rPr>
          <w:bCs/>
          <w:sz w:val="24"/>
        </w:rPr>
        <w:t>开标及评标</w:t>
      </w:r>
    </w:p>
    <w:p>
      <w:pPr>
        <w:widowControl/>
        <w:spacing w:line="360" w:lineRule="auto"/>
        <w:ind w:left="480" w:firstLine="480" w:firstLineChars="200"/>
        <w:rPr>
          <w:bCs/>
          <w:sz w:val="24"/>
          <w:lang w:val="mn-MN"/>
        </w:rPr>
      </w:pPr>
      <w:r>
        <w:rPr>
          <w:bCs/>
          <w:sz w:val="24"/>
        </w:rPr>
        <w:t>（6）</w:t>
      </w:r>
      <w:r>
        <w:rPr>
          <w:bCs/>
          <w:sz w:val="24"/>
          <w:cs/>
          <w:lang w:val="mn-MN"/>
        </w:rPr>
        <w:t>Гэрээ байгуулах</w:t>
      </w:r>
    </w:p>
    <w:p>
      <w:pPr>
        <w:widowControl/>
        <w:spacing w:line="360" w:lineRule="auto"/>
        <w:ind w:left="480" w:firstLine="480" w:firstLineChars="200"/>
        <w:rPr>
          <w:bCs/>
          <w:sz w:val="24"/>
        </w:rPr>
      </w:pPr>
      <w:r>
        <w:rPr>
          <w:bCs/>
          <w:sz w:val="24"/>
        </w:rPr>
        <w:t xml:space="preserve"> 签订合同</w:t>
      </w:r>
    </w:p>
    <w:p>
      <w:pPr>
        <w:widowControl/>
        <w:spacing w:line="360" w:lineRule="auto"/>
        <w:ind w:left="480" w:firstLine="480" w:firstLineChars="200"/>
        <w:rPr>
          <w:bCs/>
          <w:sz w:val="24"/>
          <w:lang w:val="mn-MN"/>
        </w:rPr>
      </w:pPr>
      <w:r>
        <w:rPr>
          <w:bCs/>
          <w:sz w:val="24"/>
        </w:rPr>
        <w:t xml:space="preserve">（7） </w:t>
      </w:r>
      <w:r>
        <w:rPr>
          <w:bCs/>
          <w:sz w:val="24"/>
          <w:cs/>
          <w:lang w:val="mn-MN"/>
        </w:rPr>
        <w:t>Хавсралт</w:t>
      </w:r>
    </w:p>
    <w:p>
      <w:pPr>
        <w:widowControl/>
        <w:spacing w:line="360" w:lineRule="auto"/>
        <w:ind w:left="480" w:firstLine="480" w:firstLineChars="200"/>
        <w:rPr>
          <w:bCs/>
          <w:sz w:val="24"/>
          <w:lang w:val="mn-MN"/>
        </w:rPr>
      </w:pPr>
      <w:r>
        <w:rPr>
          <w:bCs/>
          <w:sz w:val="24"/>
          <w:lang w:val="mn-MN"/>
        </w:rPr>
        <w:t>附件</w:t>
      </w:r>
    </w:p>
    <w:p>
      <w:pPr>
        <w:widowControl/>
        <w:spacing w:line="360" w:lineRule="auto"/>
        <w:ind w:left="480" w:firstLine="480" w:firstLineChars="200"/>
        <w:rPr>
          <w:bCs/>
          <w:sz w:val="24"/>
          <w:lang w:val="mn-MN"/>
        </w:rPr>
      </w:pPr>
      <w:r>
        <w:rPr>
          <w:bCs/>
          <w:sz w:val="24"/>
          <w:cs/>
          <w:lang w:val="mn-MN"/>
        </w:rPr>
        <w:t>Тендэр оролцогч нь тендэр зарлах бичиг баримтын агуулгыг сайтар уншина. Тендэр зарлагч тендэр зарлах бичиг баримтын шаардлагатай бүх материалыг гаргаж өгөөгүй эсвэл тендэр зарлах бичиг баримт нь шаардлага хангасан бичиг баримт өгөөгүй бол хүлээн авахаас татгалзана.</w:t>
      </w:r>
    </w:p>
    <w:p>
      <w:pPr>
        <w:widowControl/>
        <w:spacing w:line="360" w:lineRule="auto"/>
        <w:ind w:left="480" w:firstLine="480" w:firstLineChars="200"/>
        <w:rPr>
          <w:bCs/>
          <w:sz w:val="24"/>
        </w:rPr>
      </w:pPr>
      <w:r>
        <w:rPr>
          <w:bCs/>
          <w:sz w:val="24"/>
        </w:rPr>
        <w:t>投标人应仔细阅读招标文件中的所有内容。招标人将拒绝未按招标文件的要求提供全部资料、或提交的投标文件未对招标文件做出实质性响应的投标。</w:t>
      </w:r>
    </w:p>
    <w:p>
      <w:pPr>
        <w:pStyle w:val="4"/>
        <w:numPr>
          <w:ilvl w:val="0"/>
          <w:numId w:val="0"/>
        </w:numPr>
        <w:spacing w:line="360" w:lineRule="auto"/>
        <w:rPr>
          <w:rFonts w:ascii="Times New Roman" w:hAnsi="Times New Roman" w:eastAsia="宋体" w:cs="Times New Roman"/>
          <w:bCs/>
          <w:sz w:val="24"/>
          <w:szCs w:val="24"/>
          <w:cs/>
          <w:lang w:val="mn-MN"/>
        </w:rPr>
      </w:pPr>
      <w:bookmarkStart w:id="40" w:name="_Toc183017250"/>
      <w:bookmarkStart w:id="41" w:name="_Toc2685"/>
      <w:r>
        <w:rPr>
          <w:rFonts w:ascii="Times New Roman" w:hAnsi="Times New Roman" w:eastAsia="宋体" w:cs="Times New Roman"/>
          <w:bCs/>
          <w:sz w:val="24"/>
          <w:szCs w:val="24"/>
          <w:cs/>
          <w:lang w:val="mn-MN"/>
        </w:rPr>
        <w:t>2 . Тендэрийн бичиг баримтын тодруулга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招标文件的澄清</w:t>
      </w:r>
      <w:bookmarkEnd w:id="40"/>
      <w:bookmarkEnd w:id="41"/>
    </w:p>
    <w:p>
      <w:pPr>
        <w:widowControl/>
        <w:spacing w:line="360" w:lineRule="auto"/>
        <w:ind w:left="480" w:firstLine="480" w:firstLineChars="200"/>
        <w:rPr>
          <w:bCs/>
          <w:sz w:val="24"/>
          <w:lang w:val="mn-MN"/>
        </w:rPr>
      </w:pPr>
      <w:r>
        <w:rPr>
          <w:bCs/>
          <w:sz w:val="24"/>
          <w:cs/>
          <w:lang w:val="mn-MN"/>
        </w:rPr>
        <w:t xml:space="preserve">Тендэрт орлцогч нь тендэрийн бичиг баримт зөрүүтэй бол тендэрийн хугацаа дуусахаас 3 хоногийн өмнө бичгээр </w:t>
      </w:r>
      <w:r>
        <w:rPr>
          <w:bCs/>
          <w:sz w:val="24"/>
          <w:lang w:val="en-GB"/>
        </w:rPr>
        <w:t>(</w:t>
      </w:r>
      <w:r>
        <w:rPr>
          <w:bCs/>
          <w:sz w:val="24"/>
          <w:cs/>
          <w:lang w:val="mn-MN"/>
        </w:rPr>
        <w:t xml:space="preserve"> имэйл хаягаар болон албан тоот зэрэг илгээнэ</w:t>
      </w:r>
      <w:r>
        <w:rPr>
          <w:bCs/>
          <w:sz w:val="24"/>
          <w:lang w:val="en-GB"/>
        </w:rPr>
        <w:t>)</w:t>
      </w:r>
      <w:r>
        <w:rPr>
          <w:bCs/>
          <w:sz w:val="24"/>
          <w:cs/>
          <w:lang w:val="mn-MN"/>
        </w:rPr>
        <w:t xml:space="preserve"> тендэр зарлагчид илгээнэ. Тендэр зарлагч нь бичгээр хариу өгнө, хэрвээ эх сурвалж нь тодорхойгүй бичгийн хариуг шаардлагатай бол бүх тендэрт оролцогчдод илгээнэ. </w:t>
      </w:r>
    </w:p>
    <w:p>
      <w:pPr>
        <w:widowControl/>
        <w:spacing w:line="360" w:lineRule="auto"/>
        <w:ind w:left="480" w:firstLine="480" w:firstLineChars="200"/>
        <w:rPr>
          <w:bCs/>
          <w:sz w:val="24"/>
        </w:rPr>
      </w:pPr>
      <w:r>
        <w:rPr>
          <w:bCs/>
          <w:sz w:val="24"/>
        </w:rPr>
        <w:t>投标人对招标文件有异议的，应当在投标截止时间3日前以书面形式（包括邮件、信函，下同）送达至招标人，招标人将以书面形式予以答复，如有必要将把不标明查询来源的书面答复送达已收到招标文件的每一投标人。</w:t>
      </w:r>
    </w:p>
    <w:p>
      <w:pPr>
        <w:pStyle w:val="4"/>
        <w:numPr>
          <w:ilvl w:val="0"/>
          <w:numId w:val="0"/>
        </w:numPr>
        <w:spacing w:line="360" w:lineRule="auto"/>
        <w:rPr>
          <w:rFonts w:ascii="Times New Roman" w:hAnsi="Times New Roman" w:eastAsia="宋体" w:cs="Times New Roman"/>
          <w:bCs/>
          <w:sz w:val="24"/>
          <w:szCs w:val="24"/>
        </w:rPr>
      </w:pPr>
      <w:bookmarkStart w:id="42" w:name="_Toc183017251"/>
      <w:bookmarkStart w:id="43" w:name="_Toc32087"/>
      <w:r>
        <w:rPr>
          <w:rFonts w:hint="eastAsia" w:ascii="Times New Roman" w:hAnsi="Times New Roman" w:eastAsia="宋体" w:cs="Times New Roman"/>
          <w:bCs/>
          <w:sz w:val="24"/>
          <w:szCs w:val="24"/>
          <w:cs w:val="0"/>
          <w:lang w:val="en-US" w:eastAsia="zh-CN"/>
        </w:rPr>
        <w:t>3.</w:t>
      </w:r>
      <w:r>
        <w:rPr>
          <w:rFonts w:ascii="Times New Roman" w:hAnsi="Times New Roman" w:eastAsia="宋体" w:cs="Times New Roman"/>
          <w:bCs/>
          <w:sz w:val="24"/>
          <w:szCs w:val="24"/>
          <w:cs/>
          <w:lang w:val="mn-MN"/>
        </w:rPr>
        <w:t>Тендэрийн бичиг баримтын нэмэлт өөрчлөлт</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招标文件的补充和修改</w:t>
      </w:r>
      <w:bookmarkEnd w:id="42"/>
      <w:bookmarkEnd w:id="43"/>
    </w:p>
    <w:p>
      <w:pPr>
        <w:widowControl/>
        <w:spacing w:line="360" w:lineRule="auto"/>
        <w:ind w:left="480" w:firstLine="480" w:firstLineChars="200"/>
        <w:rPr>
          <w:bCs/>
          <w:sz w:val="24"/>
          <w:lang w:val="mn-MN"/>
        </w:rPr>
      </w:pPr>
      <w:r>
        <w:rPr>
          <w:bCs/>
          <w:sz w:val="24"/>
        </w:rPr>
        <w:t>（1）</w:t>
      </w:r>
      <w:r>
        <w:rPr>
          <w:bCs/>
          <w:sz w:val="24"/>
          <w:cs/>
          <w:lang w:val="mn-MN"/>
        </w:rPr>
        <w:t>Тендэрийн хугацаа дуусахаас өмнө тендэр зарлагч нь тендэрийн бичигт нэмэлт өөрчлөлт оруулж болно, түүнчлэн бичгээр бүх тендэрт оролцогчиддоо мэдэгдэнэ. Тендэрт оролцогч нь тус мэдэгдэлийн хүлээн авснаа мөн бичгээр мэдэгдэнэ. Нэмэлт өөрчлөлтийн мэдэгдэл нь тендэрийн бичгийн бүрэлдхүүн хэсэг болно.</w:t>
      </w:r>
    </w:p>
    <w:p>
      <w:pPr>
        <w:widowControl/>
        <w:spacing w:line="360" w:lineRule="auto"/>
        <w:ind w:left="480" w:firstLine="480" w:firstLineChars="200"/>
        <w:rPr>
          <w:bCs/>
          <w:sz w:val="24"/>
        </w:rPr>
      </w:pPr>
      <w:r>
        <w:rPr>
          <w:bCs/>
          <w:sz w:val="24"/>
        </w:rPr>
        <w:t>在投标截止时间前，招标人可补充或修改招标文件，并以书面形式通知所有购买招标文件的投标人；投标人应立即以书面形式通知招标人，确认已收到该通知；补充和修改通知是招标文件的组成部分。</w:t>
      </w:r>
    </w:p>
    <w:p>
      <w:pPr>
        <w:widowControl/>
        <w:spacing w:line="360" w:lineRule="auto"/>
        <w:ind w:left="480" w:firstLine="480" w:firstLineChars="200"/>
        <w:rPr>
          <w:bCs/>
          <w:sz w:val="24"/>
          <w:lang w:val="mn-MN"/>
        </w:rPr>
      </w:pPr>
      <w:r>
        <w:rPr>
          <w:bCs/>
          <w:sz w:val="24"/>
        </w:rPr>
        <w:t>（2）</w:t>
      </w:r>
      <w:r>
        <w:rPr>
          <w:bCs/>
          <w:sz w:val="24"/>
          <w:cs/>
          <w:lang w:val="mn-MN"/>
        </w:rPr>
        <w:t>Тендэрт оролцогчдод тендэрийн баримт бичгийн нэмэлт өөрчлөлтийг боловсруулахад хугацаа олгох үүднээс тендэр зарлагч нь тендэрийн дуусах хугацааг шаардлагатай гэж үзвэл сунгаж болно.</w:t>
      </w:r>
    </w:p>
    <w:p>
      <w:pPr>
        <w:widowControl/>
        <w:spacing w:line="360" w:lineRule="auto"/>
        <w:ind w:left="480" w:firstLine="480" w:firstLineChars="200"/>
        <w:rPr>
          <w:bCs/>
          <w:sz w:val="24"/>
        </w:rPr>
      </w:pPr>
      <w:r>
        <w:rPr>
          <w:bCs/>
          <w:sz w:val="24"/>
        </w:rPr>
        <w:t>为使投标人在准备投标文件时有合理的时间考虑招标文件的补充和修改，招标人可酌情推迟投标截止日期。</w:t>
      </w:r>
    </w:p>
    <w:p>
      <w:pPr>
        <w:pStyle w:val="3"/>
        <w:spacing w:line="360" w:lineRule="auto"/>
        <w:ind w:left="480" w:firstLine="964"/>
        <w:rPr>
          <w:rFonts w:ascii="Times New Roman"/>
          <w:bCs/>
          <w:sz w:val="24"/>
          <w:szCs w:val="24"/>
        </w:rPr>
      </w:pPr>
      <w:r>
        <w:rPr>
          <w:rFonts w:ascii="Times New Roman"/>
          <w:bCs/>
          <w:sz w:val="24"/>
          <w:szCs w:val="24"/>
        </w:rPr>
        <w:br w:type="page"/>
      </w:r>
      <w:bookmarkStart w:id="44" w:name="_Toc183017252"/>
      <w:bookmarkStart w:id="45" w:name="_Toc16810"/>
    </w:p>
    <w:p>
      <w:pPr>
        <w:pStyle w:val="3"/>
        <w:spacing w:line="360" w:lineRule="auto"/>
        <w:ind w:left="480" w:firstLine="960"/>
        <w:rPr>
          <w:rFonts w:ascii="Times New Roman"/>
          <w:bCs/>
          <w:sz w:val="24"/>
          <w:szCs w:val="24"/>
          <w:lang w:val="mn-MN"/>
        </w:rPr>
      </w:pPr>
      <w:r>
        <w:rPr>
          <w:rFonts w:ascii="Times New Roman"/>
          <w:bCs/>
          <w:sz w:val="24"/>
          <w:szCs w:val="24"/>
          <w:cs/>
          <w:lang w:val="mn-MN"/>
        </w:rPr>
        <w:t>Дөрөв. Тендэрийн бичиг</w:t>
      </w:r>
    </w:p>
    <w:p>
      <w:pPr>
        <w:pStyle w:val="3"/>
        <w:spacing w:line="360" w:lineRule="auto"/>
        <w:ind w:left="480" w:firstLine="960"/>
        <w:rPr>
          <w:rFonts w:ascii="Times New Roman" w:eastAsia="宋体"/>
          <w:b/>
          <w:sz w:val="24"/>
          <w:szCs w:val="24"/>
        </w:rPr>
      </w:pPr>
      <w:r>
        <w:rPr>
          <w:rFonts w:ascii="Times New Roman" w:eastAsia="宋体"/>
          <w:b/>
          <w:sz w:val="24"/>
          <w:szCs w:val="24"/>
        </w:rPr>
        <w:t>四、投标文件</w:t>
      </w:r>
      <w:bookmarkEnd w:id="44"/>
      <w:bookmarkEnd w:id="45"/>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46" w:name="_Toc183017253"/>
      <w:bookmarkStart w:id="47" w:name="_Toc1023"/>
      <w:r>
        <w:rPr>
          <w:rFonts w:ascii="Times New Roman" w:hAnsi="Times New Roman" w:eastAsia="宋体" w:cs="Times New Roman"/>
          <w:bCs/>
          <w:sz w:val="24"/>
          <w:szCs w:val="24"/>
        </w:rPr>
        <w:t>1</w:t>
      </w:r>
      <w:r>
        <w:rPr>
          <w:rFonts w:ascii="Times New Roman" w:hAnsi="Times New Roman" w:eastAsia="宋体" w:cs="Times New Roman"/>
          <w:bCs/>
          <w:sz w:val="24"/>
          <w:szCs w:val="24"/>
          <w:cs/>
          <w:lang w:val="mn-MN"/>
        </w:rPr>
        <w:t>.Тендэрийн бичиг баримтыг боловсруулах</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投标文件的编写</w:t>
      </w:r>
      <w:bookmarkEnd w:id="46"/>
      <w:bookmarkEnd w:id="47"/>
    </w:p>
    <w:p>
      <w:pPr>
        <w:widowControl/>
        <w:spacing w:line="360" w:lineRule="auto"/>
        <w:ind w:left="480" w:firstLine="480" w:firstLineChars="200"/>
        <w:rPr>
          <w:bCs/>
          <w:sz w:val="24"/>
          <w:lang w:val="mn-MN"/>
        </w:rPr>
      </w:pPr>
      <w:r>
        <w:rPr>
          <w:bCs/>
          <w:sz w:val="24"/>
          <w:cs/>
          <w:lang w:val="mn-MN"/>
        </w:rPr>
        <w:t xml:space="preserve">Тендэрт оролцогч тендэр зарлах бичиг баримтыг сайтар уншиж, тендэр зарлах бичиг баримтын шаардлыг бүрэн ойлгосон байна. Тендэрийн барааны тендэрийн үзүүлэлт, шаардлага болон бизнесийн нөхцөлийг бүрэн ойлгосоны дараа тендэрийн бичгээ боловсруулна. </w:t>
      </w:r>
    </w:p>
    <w:p>
      <w:pPr>
        <w:widowControl/>
        <w:spacing w:line="360" w:lineRule="auto"/>
        <w:ind w:left="480" w:firstLine="480" w:firstLineChars="200"/>
        <w:rPr>
          <w:bCs/>
          <w:sz w:val="24"/>
        </w:rPr>
      </w:pPr>
      <w:r>
        <w:rPr>
          <w:bCs/>
          <w:sz w:val="24"/>
        </w:rPr>
        <w:t>投标人应仔细阅读招标文件，了解招标文件的要求。在完全了解招标货物的技术规范和要求以及商务条件后，编制投标文件。</w:t>
      </w:r>
    </w:p>
    <w:p>
      <w:pPr>
        <w:pStyle w:val="4"/>
        <w:numPr>
          <w:ilvl w:val="0"/>
          <w:numId w:val="0"/>
        </w:numPr>
        <w:spacing w:line="360" w:lineRule="auto"/>
        <w:ind w:left="240" w:firstLine="241" w:firstLineChars="100"/>
        <w:rPr>
          <w:rFonts w:ascii="Times New Roman" w:hAnsi="Times New Roman" w:eastAsia="宋体" w:cs="Times New Roman"/>
          <w:bCs/>
          <w:sz w:val="24"/>
          <w:szCs w:val="24"/>
          <w:cs/>
          <w:lang w:val="mn-MN"/>
        </w:rPr>
      </w:pPr>
      <w:bookmarkStart w:id="48" w:name="_Toc7495"/>
      <w:bookmarkStart w:id="49" w:name="_Toc456272972"/>
      <w:bookmarkStart w:id="50" w:name="_Toc183017254"/>
      <w:r>
        <w:rPr>
          <w:rFonts w:ascii="Times New Roman" w:hAnsi="Times New Roman" w:eastAsia="宋体" w:cs="Times New Roman"/>
          <w:bCs/>
          <w:sz w:val="24"/>
          <w:szCs w:val="24"/>
          <w:cs/>
          <w:lang w:val="mn-MN"/>
        </w:rPr>
        <w:t>2 . Тендэрийн бичгийн хэл болон хэмжих нэгж</w:t>
      </w:r>
    </w:p>
    <w:p>
      <w:pPr>
        <w:pStyle w:val="4"/>
        <w:numPr>
          <w:ilvl w:val="0"/>
          <w:numId w:val="0"/>
        </w:numPr>
        <w:spacing w:line="360" w:lineRule="auto"/>
        <w:ind w:left="240"/>
        <w:rPr>
          <w:rFonts w:ascii="Times New Roman" w:hAnsi="Times New Roman" w:eastAsia="宋体" w:cs="Times New Roman"/>
          <w:bCs/>
          <w:sz w:val="24"/>
          <w:szCs w:val="24"/>
        </w:rPr>
      </w:pPr>
      <w:r>
        <w:rPr>
          <w:rFonts w:ascii="Times New Roman" w:hAnsi="Times New Roman" w:eastAsia="宋体" w:cs="Times New Roman"/>
          <w:bCs/>
          <w:sz w:val="24"/>
          <w:szCs w:val="24"/>
        </w:rPr>
        <w:t>投标文件的语言及计量单位</w:t>
      </w:r>
      <w:bookmarkEnd w:id="48"/>
      <w:bookmarkEnd w:id="49"/>
      <w:bookmarkEnd w:id="50"/>
    </w:p>
    <w:p>
      <w:pPr>
        <w:widowControl/>
        <w:spacing w:line="360" w:lineRule="auto"/>
        <w:ind w:left="480" w:firstLine="480" w:firstLineChars="200"/>
        <w:rPr>
          <w:bCs/>
          <w:sz w:val="24"/>
          <w:lang w:val="mn-MN"/>
        </w:rPr>
      </w:pPr>
      <w:r>
        <w:rPr>
          <w:bCs/>
          <w:sz w:val="24"/>
        </w:rPr>
        <w:t>（1）</w:t>
      </w:r>
      <w:r>
        <w:rPr>
          <w:bCs/>
          <w:sz w:val="24"/>
          <w:cs/>
          <w:lang w:val="mn-MN"/>
        </w:rPr>
        <w:t xml:space="preserve">Тендэрийн бичиг болоод тендэрт оролцогчийн тендэртэй хобоотой бүх албан бичиг, цахим шуудан Хятад эсвэл Монгол хэл дээр байна. </w:t>
      </w:r>
    </w:p>
    <w:p>
      <w:pPr>
        <w:widowControl/>
        <w:spacing w:line="360" w:lineRule="auto"/>
        <w:ind w:left="480" w:firstLine="480" w:firstLineChars="200"/>
        <w:rPr>
          <w:bCs/>
          <w:sz w:val="24"/>
        </w:rPr>
      </w:pPr>
      <w:r>
        <w:rPr>
          <w:bCs/>
          <w:sz w:val="24"/>
        </w:rPr>
        <w:t>投标文件以及投标人就有关投标的所有来往函电均应使用中文或蒙文。</w:t>
      </w:r>
    </w:p>
    <w:p>
      <w:pPr>
        <w:widowControl/>
        <w:spacing w:line="360" w:lineRule="auto"/>
        <w:ind w:left="480" w:firstLine="480" w:firstLineChars="200"/>
        <w:rPr>
          <w:bCs/>
          <w:sz w:val="24"/>
          <w:lang w:val="mn-MN"/>
        </w:rPr>
      </w:pPr>
      <w:r>
        <w:rPr>
          <w:bCs/>
          <w:sz w:val="24"/>
        </w:rPr>
        <w:t>（2）</w:t>
      </w:r>
      <w:r>
        <w:rPr>
          <w:bCs/>
          <w:sz w:val="24"/>
          <w:cs/>
          <w:lang w:val="mn-MN"/>
        </w:rPr>
        <w:t xml:space="preserve">Тендэрийн бичигт хэрэглэх хэмжих нэгж нь тендэрийн бичигт онцгой заалт байхгүй бол ОУ-ын тогтсон хэмжих нэгжийг хэрэглэнэ. </w:t>
      </w:r>
    </w:p>
    <w:p>
      <w:pPr>
        <w:widowControl/>
        <w:spacing w:line="360" w:lineRule="auto"/>
        <w:ind w:left="480" w:firstLine="480" w:firstLineChars="200"/>
        <w:rPr>
          <w:bCs/>
          <w:sz w:val="24"/>
        </w:rPr>
      </w:pPr>
      <w:r>
        <w:rPr>
          <w:bCs/>
          <w:sz w:val="24"/>
        </w:rPr>
        <w:t>投标文件中所使用的计量单位除招标文件中有特殊规定外，一律使用国际法定计量单位。</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51" w:name="_Toc183017255"/>
      <w:bookmarkStart w:id="52" w:name="_Toc17930"/>
      <w:r>
        <w:rPr>
          <w:rFonts w:ascii="Times New Roman" w:hAnsi="Times New Roman" w:eastAsia="宋体" w:cs="Times New Roman"/>
          <w:bCs/>
          <w:sz w:val="24"/>
          <w:szCs w:val="24"/>
          <w:cs/>
          <w:lang w:val="mn-MN"/>
        </w:rPr>
        <w:t xml:space="preserve">3 . Тендэрийн бичгийн бүрэлдхүүн </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投标文件的组成</w:t>
      </w:r>
      <w:bookmarkEnd w:id="51"/>
      <w:bookmarkEnd w:id="52"/>
    </w:p>
    <w:p>
      <w:pPr>
        <w:widowControl/>
        <w:spacing w:line="360" w:lineRule="auto"/>
        <w:ind w:left="480" w:firstLine="480" w:firstLineChars="200"/>
        <w:rPr>
          <w:bCs/>
          <w:sz w:val="24"/>
          <w:lang w:val="mn-MN"/>
        </w:rPr>
      </w:pPr>
      <w:r>
        <w:rPr>
          <w:bCs/>
          <w:sz w:val="24"/>
        </w:rPr>
        <w:t>（1）</w:t>
      </w:r>
      <w:r>
        <w:rPr>
          <w:bCs/>
          <w:sz w:val="24"/>
          <w:cs/>
          <w:lang w:val="mn-MN"/>
        </w:rPr>
        <w:t>Тендэрийн бичиг боловсруулах шаардлагыг хоёрдугаар заалт дахь тендэрт оролцогчийн мэдвэл зохих зүйл хэсгээс үзнэ үү.</w:t>
      </w:r>
    </w:p>
    <w:p>
      <w:pPr>
        <w:widowControl/>
        <w:spacing w:line="360" w:lineRule="auto"/>
        <w:ind w:left="480" w:firstLine="480" w:firstLineChars="200"/>
        <w:rPr>
          <w:bCs/>
          <w:sz w:val="24"/>
        </w:rPr>
      </w:pPr>
      <w:r>
        <w:rPr>
          <w:bCs/>
          <w:sz w:val="24"/>
        </w:rPr>
        <w:t>投标文件的制作要求请参考第二条投标人须知。</w:t>
      </w:r>
    </w:p>
    <w:p>
      <w:pPr>
        <w:widowControl/>
        <w:numPr>
          <w:ilvl w:val="0"/>
          <w:numId w:val="18"/>
        </w:numPr>
        <w:spacing w:line="360" w:lineRule="auto"/>
        <w:ind w:left="480" w:firstLine="840"/>
        <w:rPr>
          <w:bCs/>
          <w:sz w:val="24"/>
          <w:cs/>
          <w:lang w:val="mn-MN"/>
        </w:rPr>
      </w:pPr>
      <w:r>
        <w:rPr>
          <w:bCs/>
          <w:sz w:val="24"/>
          <w:cs/>
          <w:lang w:val="mn-MN"/>
        </w:rPr>
        <w:t xml:space="preserve">Барьцаа мөнгө </w:t>
      </w:r>
    </w:p>
    <w:p>
      <w:pPr>
        <w:widowControl/>
        <w:spacing w:line="360" w:lineRule="auto"/>
        <w:ind w:left="480" w:firstLine="840"/>
        <w:rPr>
          <w:bCs/>
          <w:sz w:val="24"/>
          <w:cs/>
          <w:lang w:val="mn-MN"/>
        </w:rPr>
      </w:pPr>
      <w:r>
        <w:rPr>
          <w:bCs/>
          <w:sz w:val="24"/>
          <w:cs/>
          <w:lang w:val="mn-MN"/>
        </w:rPr>
        <w:t xml:space="preserve">                   Байхгүй</w:t>
      </w:r>
    </w:p>
    <w:p>
      <w:pPr>
        <w:widowControl/>
        <w:spacing w:line="360" w:lineRule="auto"/>
        <w:ind w:left="480" w:firstLine="480" w:firstLineChars="200"/>
        <w:rPr>
          <w:bCs/>
          <w:sz w:val="24"/>
        </w:rPr>
      </w:pPr>
      <w:r>
        <w:rPr>
          <w:bCs/>
          <w:sz w:val="24"/>
        </w:rPr>
        <w:t>履约保证金</w:t>
      </w:r>
    </w:p>
    <w:p>
      <w:pPr>
        <w:numPr>
          <w:ilvl w:val="255"/>
          <w:numId w:val="0"/>
        </w:numPr>
        <w:spacing w:line="360" w:lineRule="auto"/>
        <w:ind w:left="420" w:leftChars="200" w:firstLine="480" w:firstLineChars="200"/>
        <w:rPr>
          <w:sz w:val="24"/>
        </w:rPr>
      </w:pPr>
      <w:r>
        <w:rPr>
          <w:sz w:val="24"/>
        </w:rPr>
        <w:t>无</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53" w:name="_Toc28060"/>
      <w:bookmarkStart w:id="54" w:name="_Toc183017256"/>
      <w:r>
        <w:rPr>
          <w:rFonts w:ascii="Times New Roman" w:hAnsi="Times New Roman" w:eastAsia="宋体" w:cs="Times New Roman"/>
          <w:bCs/>
          <w:sz w:val="24"/>
          <w:szCs w:val="24"/>
        </w:rPr>
        <w:t>4</w:t>
      </w:r>
      <w:r>
        <w:rPr>
          <w:rFonts w:ascii="Times New Roman" w:hAnsi="Times New Roman" w:eastAsia="宋体" w:cs="Times New Roman"/>
          <w:bCs/>
          <w:sz w:val="24"/>
          <w:szCs w:val="24"/>
          <w:cs/>
          <w:lang w:val="mn-MN"/>
        </w:rPr>
        <w:t xml:space="preserve"> .Тендэрийн хүчинтэй хугацаа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投标</w:t>
      </w:r>
      <w:bookmarkStart w:id="55" w:name="_Hlk182748110"/>
      <w:r>
        <w:rPr>
          <w:rFonts w:ascii="Times New Roman" w:hAnsi="Times New Roman" w:eastAsia="宋体" w:cs="Times New Roman"/>
          <w:bCs/>
          <w:sz w:val="24"/>
          <w:szCs w:val="24"/>
        </w:rPr>
        <w:t>有效期</w:t>
      </w:r>
      <w:bookmarkEnd w:id="53"/>
      <w:bookmarkEnd w:id="54"/>
      <w:bookmarkEnd w:id="55"/>
    </w:p>
    <w:p>
      <w:pPr>
        <w:widowControl/>
        <w:spacing w:line="360" w:lineRule="auto"/>
        <w:ind w:left="480" w:firstLine="720" w:firstLineChars="300"/>
        <w:rPr>
          <w:bCs/>
          <w:sz w:val="24"/>
          <w:lang w:val="mn-MN"/>
        </w:rPr>
      </w:pPr>
      <w:r>
        <w:rPr>
          <w:bCs/>
          <w:sz w:val="24"/>
          <w:cs/>
          <w:lang w:val="mn-MN"/>
        </w:rPr>
        <w:t xml:space="preserve">Тендэрийн хүчинтэй хугацаа нь нээсэн өдрөөс эхлэн “Тендэрт оролцогчийн мэдвэл зохих зүйл хавсралт” 3-т заасан хуанлийн өдрөөр тооцож тендэрийн хугацаанд хүчинтэй. </w:t>
      </w:r>
    </w:p>
    <w:p>
      <w:pPr>
        <w:widowControl/>
        <w:spacing w:line="360" w:lineRule="auto"/>
        <w:ind w:left="480" w:firstLine="720" w:firstLineChars="300"/>
        <w:rPr>
          <w:bCs/>
          <w:sz w:val="24"/>
        </w:rPr>
      </w:pPr>
      <w:r>
        <w:rPr>
          <w:bCs/>
          <w:sz w:val="24"/>
        </w:rPr>
        <w:t>投标人投标有效期应从开标日起，在“投标人须知前附表”第3项所规定的，以日历天计算的投标有效期内有效。</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56" w:name="_Toc183017257"/>
      <w:bookmarkStart w:id="57" w:name="_Toc21061"/>
      <w:r>
        <w:rPr>
          <w:rFonts w:ascii="Times New Roman" w:hAnsi="Times New Roman" w:eastAsia="宋体" w:cs="Times New Roman"/>
          <w:bCs/>
          <w:sz w:val="24"/>
          <w:szCs w:val="24"/>
        </w:rPr>
        <w:t>5</w:t>
      </w:r>
      <w:r>
        <w:rPr>
          <w:rFonts w:ascii="Times New Roman" w:hAnsi="Times New Roman" w:eastAsia="宋体" w:cs="Times New Roman"/>
          <w:bCs/>
          <w:sz w:val="24"/>
          <w:szCs w:val="24"/>
          <w:cs/>
          <w:lang w:val="mn-MN"/>
        </w:rPr>
        <w:t xml:space="preserve"> . Тендэрийн бичиг баримт хүлээлгэн өгөх хугацаа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递交投标文件的截止时间</w:t>
      </w:r>
      <w:bookmarkEnd w:id="56"/>
      <w:bookmarkEnd w:id="57"/>
    </w:p>
    <w:p>
      <w:pPr>
        <w:widowControl/>
        <w:spacing w:line="360" w:lineRule="auto"/>
        <w:ind w:left="480" w:firstLine="480" w:firstLineChars="200"/>
        <w:rPr>
          <w:bCs/>
          <w:sz w:val="24"/>
          <w:lang w:val="mn-MN"/>
        </w:rPr>
      </w:pPr>
      <w:r>
        <w:rPr>
          <w:bCs/>
          <w:sz w:val="24"/>
        </w:rPr>
        <w:t>（1）</w:t>
      </w:r>
      <w:r>
        <w:rPr>
          <w:bCs/>
          <w:sz w:val="24"/>
          <w:cs/>
          <w:lang w:val="mn-MN"/>
        </w:rPr>
        <w:t xml:space="preserve">Бүх тендэрийн бичгийг тендэрийн зард заасан хугацаанд хүлээлгэн өгнө. </w:t>
      </w:r>
    </w:p>
    <w:p>
      <w:pPr>
        <w:widowControl/>
        <w:spacing w:line="360" w:lineRule="auto"/>
        <w:ind w:left="480" w:firstLine="480" w:firstLineChars="200"/>
        <w:rPr>
          <w:bCs/>
          <w:sz w:val="24"/>
        </w:rPr>
      </w:pPr>
      <w:r>
        <w:rPr>
          <w:bCs/>
          <w:sz w:val="24"/>
        </w:rPr>
        <w:t>所有投标文件必须按招标人在招标公告规定的时间内送达。</w:t>
      </w:r>
    </w:p>
    <w:p>
      <w:pPr>
        <w:widowControl/>
        <w:spacing w:line="360" w:lineRule="auto"/>
        <w:ind w:left="480" w:firstLine="480" w:firstLineChars="200"/>
        <w:rPr>
          <w:bCs/>
          <w:sz w:val="24"/>
          <w:lang w:val="mn-MN"/>
        </w:rPr>
      </w:pPr>
      <w:r>
        <w:rPr>
          <w:bCs/>
          <w:sz w:val="24"/>
        </w:rPr>
        <w:t>（2）</w:t>
      </w:r>
      <w:r>
        <w:rPr>
          <w:bCs/>
          <w:sz w:val="24"/>
          <w:cs/>
          <w:lang w:val="mn-MN"/>
        </w:rPr>
        <w:t>Тендэр зарлагч нь тендэрийн бичиг баримтанд нэмэлт өөрчлөлт оруулж болно, түүнчлэн тендэрийн бичиг өгөх хуацааг сунгаж болно. Иймээс тендэр зарлагч болон тендэрт оролцогчийн эрх үүргийг тогтоож, хугацаа сунгасаны дараах тендэрийн хугацаанд гүйцэтгэнэ.</w:t>
      </w:r>
    </w:p>
    <w:p>
      <w:pPr>
        <w:widowControl/>
        <w:spacing w:line="360" w:lineRule="auto"/>
        <w:ind w:left="480" w:firstLine="480" w:firstLineChars="200"/>
        <w:rPr>
          <w:bCs/>
          <w:sz w:val="24"/>
        </w:rPr>
      </w:pPr>
      <w:r>
        <w:rPr>
          <w:bCs/>
          <w:sz w:val="24"/>
        </w:rPr>
        <w:t>招标人可修改招标文件,并酌情延长提交投标文件的截止日期。因此，已规定的招标人和投标人的一切权利和义务,将按延期后的投标截止日期履行。</w:t>
      </w:r>
    </w:p>
    <w:p>
      <w:pPr>
        <w:widowControl/>
        <w:spacing w:line="360" w:lineRule="auto"/>
        <w:ind w:left="480" w:firstLine="480" w:firstLineChars="200"/>
        <w:rPr>
          <w:bCs/>
          <w:sz w:val="24"/>
          <w:lang w:val="mn-MN"/>
        </w:rPr>
      </w:pPr>
      <w:r>
        <w:rPr>
          <w:bCs/>
          <w:sz w:val="24"/>
        </w:rPr>
        <w:t>（3）</w:t>
      </w:r>
      <w:r>
        <w:rPr>
          <w:bCs/>
          <w:sz w:val="24"/>
          <w:cs/>
          <w:lang w:val="mn-MN"/>
        </w:rPr>
        <w:t xml:space="preserve">Тендэрийн бичиг баримтанд тусгагдаагүй бусад тендэрийн хэлбэрийг хүлээн авахгүй. </w:t>
      </w:r>
    </w:p>
    <w:p>
      <w:pPr>
        <w:widowControl/>
        <w:spacing w:line="360" w:lineRule="auto"/>
        <w:ind w:left="480" w:firstLine="480" w:firstLineChars="200"/>
        <w:rPr>
          <w:bCs/>
          <w:sz w:val="24"/>
        </w:rPr>
      </w:pPr>
      <w:r>
        <w:rPr>
          <w:bCs/>
          <w:sz w:val="24"/>
        </w:rPr>
        <w:t>采购文件约定外其他投标方式概不接受。</w:t>
      </w:r>
    </w:p>
    <w:p>
      <w:pPr>
        <w:pStyle w:val="4"/>
        <w:numPr>
          <w:ilvl w:val="0"/>
          <w:numId w:val="0"/>
        </w:numPr>
        <w:spacing w:line="360" w:lineRule="auto"/>
        <w:rPr>
          <w:rFonts w:ascii="Times New Roman" w:hAnsi="Times New Roman" w:eastAsia="宋体" w:cs="Times New Roman"/>
          <w:bCs/>
          <w:sz w:val="24"/>
          <w:szCs w:val="24"/>
          <w:lang w:val="mn-MN"/>
        </w:rPr>
      </w:pPr>
      <w:bookmarkStart w:id="58" w:name="_Toc183017258"/>
      <w:bookmarkStart w:id="59" w:name="_Toc3935"/>
      <w:r>
        <w:rPr>
          <w:rFonts w:hint="eastAsia" w:ascii="Times New Roman" w:hAnsi="Times New Roman" w:eastAsia="宋体" w:cs="Times New Roman"/>
          <w:bCs/>
          <w:sz w:val="24"/>
          <w:szCs w:val="24"/>
          <w:cs w:val="0"/>
          <w:lang w:val="en-US" w:eastAsia="zh-CN"/>
        </w:rPr>
        <w:t>6.</w:t>
      </w:r>
      <w:r>
        <w:rPr>
          <w:rFonts w:ascii="Times New Roman" w:hAnsi="Times New Roman" w:eastAsia="宋体" w:cs="Times New Roman"/>
          <w:bCs/>
          <w:sz w:val="24"/>
          <w:szCs w:val="24"/>
          <w:cs/>
          <w:lang w:val="mn-MN"/>
        </w:rPr>
        <w:t>Тендэрийн бичгээ хоцорч өгөх</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迟交的投标文件</w:t>
      </w:r>
      <w:bookmarkEnd w:id="58"/>
      <w:bookmarkEnd w:id="59"/>
    </w:p>
    <w:p>
      <w:pPr>
        <w:widowControl/>
        <w:spacing w:line="360" w:lineRule="auto"/>
        <w:ind w:left="480" w:firstLine="480" w:firstLineChars="200"/>
        <w:rPr>
          <w:bCs/>
          <w:sz w:val="24"/>
          <w:lang w:val="mn-MN"/>
        </w:rPr>
      </w:pPr>
      <w:r>
        <w:rPr>
          <w:bCs/>
          <w:sz w:val="24"/>
          <w:cs/>
          <w:lang w:val="mn-MN"/>
        </w:rPr>
        <w:t xml:space="preserve">Тендэр зарлагч нь тендэрийн бичиг хүлээн авах хугацаа дууссанаас хойш тендэрийн бичиг хүлээн авахгүй. </w:t>
      </w:r>
    </w:p>
    <w:p>
      <w:pPr>
        <w:widowControl/>
        <w:spacing w:line="360" w:lineRule="auto"/>
        <w:ind w:left="480" w:firstLine="480" w:firstLineChars="200"/>
        <w:rPr>
          <w:bCs/>
          <w:sz w:val="24"/>
        </w:rPr>
      </w:pPr>
      <w:r>
        <w:rPr>
          <w:bCs/>
          <w:sz w:val="24"/>
        </w:rPr>
        <w:t>招标人将拒绝在递交投标文件的截止时间后递交的投标文件。</w:t>
      </w:r>
    </w:p>
    <w:p>
      <w:pPr>
        <w:pStyle w:val="4"/>
        <w:numPr>
          <w:ilvl w:val="0"/>
          <w:numId w:val="0"/>
        </w:numPr>
        <w:spacing w:line="360" w:lineRule="auto"/>
        <w:rPr>
          <w:rFonts w:ascii="Times New Roman" w:hAnsi="Times New Roman" w:eastAsia="宋体" w:cs="Times New Roman"/>
          <w:bCs/>
          <w:sz w:val="24"/>
          <w:szCs w:val="24"/>
        </w:rPr>
      </w:pPr>
      <w:bookmarkStart w:id="60" w:name="_Toc183017259"/>
      <w:bookmarkStart w:id="61" w:name="_Toc24379"/>
      <w:r>
        <w:rPr>
          <w:rFonts w:hint="eastAsia" w:ascii="Times New Roman" w:hAnsi="Times New Roman" w:cs="Times New Roman" w:eastAsiaTheme="majorEastAsia"/>
          <w:bCs/>
          <w:sz w:val="24"/>
          <w:szCs w:val="24"/>
          <w:cs w:val="0"/>
          <w:lang w:val="en-US" w:eastAsia="zh-CN"/>
        </w:rPr>
        <w:t>7.</w:t>
      </w:r>
      <w:r>
        <w:rPr>
          <w:rFonts w:ascii="Times New Roman" w:hAnsi="Times New Roman" w:cs="Times New Roman" w:eastAsiaTheme="majorEastAsia"/>
          <w:bCs/>
          <w:sz w:val="24"/>
          <w:szCs w:val="24"/>
          <w:cs/>
          <w:lang w:val="mn-MN"/>
        </w:rPr>
        <w:t>Тендэрийн бичиг баримтын нэмэлт өөрчлөлт болон цуцлах</w:t>
      </w:r>
    </w:p>
    <w:p>
      <w:pPr>
        <w:pStyle w:val="4"/>
        <w:numPr>
          <w:ilvl w:val="0"/>
          <w:numId w:val="0"/>
        </w:numPr>
        <w:spacing w:line="360" w:lineRule="auto"/>
        <w:ind w:left="540"/>
        <w:rPr>
          <w:rFonts w:ascii="Times New Roman" w:hAnsi="Times New Roman" w:eastAsia="宋体" w:cs="Times New Roman"/>
          <w:bCs/>
          <w:sz w:val="24"/>
          <w:szCs w:val="24"/>
        </w:rPr>
      </w:pPr>
      <w:r>
        <w:rPr>
          <w:rFonts w:ascii="Times New Roman" w:hAnsi="Times New Roman" w:eastAsia="宋体" w:cs="Times New Roman"/>
          <w:bCs/>
          <w:sz w:val="24"/>
          <w:szCs w:val="24"/>
        </w:rPr>
        <w:t>投标文件的修改和撤销</w:t>
      </w:r>
      <w:bookmarkEnd w:id="60"/>
      <w:bookmarkEnd w:id="61"/>
    </w:p>
    <w:p>
      <w:pPr>
        <w:widowControl/>
        <w:spacing w:line="360" w:lineRule="auto"/>
        <w:ind w:left="480" w:firstLine="480" w:firstLineChars="200"/>
        <w:rPr>
          <w:bCs/>
          <w:sz w:val="24"/>
          <w:lang w:val="mn-MN"/>
        </w:rPr>
      </w:pPr>
      <w:r>
        <w:rPr>
          <w:bCs/>
          <w:sz w:val="24"/>
        </w:rPr>
        <w:t>（1）</w:t>
      </w:r>
      <w:r>
        <w:rPr>
          <w:bCs/>
          <w:sz w:val="24"/>
          <w:cs/>
          <w:lang w:val="mn-MN"/>
        </w:rPr>
        <w:t xml:space="preserve">Тендэрт оролцогч нь тендэрийн бичгээ ирүүлсний дараа тендэрийн бичигээ засах болон цуцалж болно. Гэхдээ тендэр зарлагчид засах болон цуцлах мэдэгдлээ бичгээр тендэрийн хугацаа дуусахаас өмнө мэдэгдсэн байна. </w:t>
      </w:r>
    </w:p>
    <w:p>
      <w:pPr>
        <w:widowControl/>
        <w:spacing w:line="360" w:lineRule="auto"/>
        <w:ind w:left="480" w:firstLine="480" w:firstLineChars="200"/>
        <w:rPr>
          <w:bCs/>
          <w:sz w:val="24"/>
        </w:rPr>
      </w:pPr>
      <w:r>
        <w:rPr>
          <w:bCs/>
          <w:sz w:val="24"/>
        </w:rPr>
        <w:t>投标人在提交投标文件后,可对其已提交的投标文件进行修改或撤消，但招标人须在投标截止时间前收到该修改或撤消的书面通知。</w:t>
      </w:r>
    </w:p>
    <w:p>
      <w:pPr>
        <w:widowControl/>
        <w:spacing w:line="360" w:lineRule="auto"/>
        <w:ind w:left="480" w:firstLine="480" w:firstLineChars="200"/>
        <w:rPr>
          <w:bCs/>
          <w:sz w:val="24"/>
          <w:lang w:val="mn-MN"/>
        </w:rPr>
      </w:pPr>
      <w:r>
        <w:rPr>
          <w:bCs/>
          <w:sz w:val="24"/>
        </w:rPr>
        <w:t>（2）</w:t>
      </w:r>
      <w:r>
        <w:rPr>
          <w:bCs/>
          <w:sz w:val="24"/>
          <w:cs/>
          <w:lang w:val="mn-MN"/>
        </w:rPr>
        <w:t xml:space="preserve">Тендэрт оролцогч нь тендэрийн бичгээ ирүүлсний дараа өөрчлөх болон цуцлах боломжгүй. </w:t>
      </w:r>
    </w:p>
    <w:p>
      <w:pPr>
        <w:widowControl/>
        <w:spacing w:line="360" w:lineRule="auto"/>
        <w:ind w:left="480" w:firstLine="480" w:firstLineChars="200"/>
        <w:rPr>
          <w:bCs/>
          <w:sz w:val="24"/>
        </w:rPr>
      </w:pPr>
      <w:r>
        <w:rPr>
          <w:bCs/>
          <w:sz w:val="24"/>
        </w:rPr>
        <w:t>投标人投标文件投递后，不得修改或撤消。</w:t>
      </w:r>
    </w:p>
    <w:p>
      <w:pPr>
        <w:ind w:firstLine="840"/>
        <w:rPr>
          <w:b/>
          <w:bCs/>
          <w:sz w:val="24"/>
          <w:cs/>
          <w:lang w:val="mn-MN"/>
        </w:rPr>
      </w:pPr>
    </w:p>
    <w:p>
      <w:pPr>
        <w:ind w:firstLine="482" w:firstLineChars="200"/>
        <w:rPr>
          <w:b/>
          <w:bCs/>
          <w:sz w:val="24"/>
          <w:lang w:val="mn-MN"/>
        </w:rPr>
      </w:pPr>
      <w:r>
        <w:rPr>
          <w:b/>
          <w:bCs/>
          <w:sz w:val="24"/>
          <w:cs/>
          <w:lang w:val="mn-MN"/>
        </w:rPr>
        <w:t xml:space="preserve">Тав. Тендэр нээх болон үнэлэх </w:t>
      </w:r>
    </w:p>
    <w:p>
      <w:pPr>
        <w:pStyle w:val="3"/>
        <w:spacing w:line="360" w:lineRule="auto"/>
        <w:ind w:left="480" w:firstLine="960"/>
        <w:rPr>
          <w:rFonts w:ascii="Times New Roman" w:eastAsia="宋体"/>
          <w:b/>
          <w:sz w:val="24"/>
          <w:szCs w:val="24"/>
        </w:rPr>
      </w:pPr>
      <w:bookmarkStart w:id="62" w:name="_Toc16602"/>
      <w:bookmarkStart w:id="63" w:name="_Toc513214174"/>
      <w:bookmarkStart w:id="64" w:name="_Toc510187789"/>
      <w:bookmarkStart w:id="65" w:name="_Toc183017260"/>
      <w:r>
        <w:rPr>
          <w:rFonts w:ascii="Times New Roman" w:eastAsia="宋体"/>
          <w:b/>
          <w:sz w:val="24"/>
          <w:szCs w:val="24"/>
        </w:rPr>
        <w:t>五、开标及评标</w:t>
      </w:r>
      <w:bookmarkEnd w:id="62"/>
      <w:bookmarkEnd w:id="63"/>
      <w:bookmarkEnd w:id="64"/>
      <w:bookmarkEnd w:id="65"/>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66" w:name="_Toc510187790"/>
      <w:bookmarkStart w:id="67" w:name="_Toc183017261"/>
      <w:bookmarkStart w:id="68" w:name="_Toc513214175"/>
      <w:bookmarkStart w:id="69" w:name="_Toc13399"/>
      <w:r>
        <w:rPr>
          <w:rFonts w:ascii="Times New Roman" w:hAnsi="Times New Roman" w:eastAsia="宋体" w:cs="Times New Roman"/>
          <w:bCs/>
          <w:sz w:val="24"/>
          <w:szCs w:val="24"/>
        </w:rPr>
        <w:t>1</w:t>
      </w:r>
      <w:r>
        <w:rPr>
          <w:rFonts w:ascii="Times New Roman" w:hAnsi="Times New Roman" w:eastAsia="宋体" w:cs="Times New Roman"/>
          <w:bCs/>
          <w:sz w:val="24"/>
          <w:szCs w:val="24"/>
          <w:cs/>
          <w:lang w:val="mn-MN"/>
        </w:rPr>
        <w:t xml:space="preserve">. Тендэр нээх </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开标</w:t>
      </w:r>
      <w:bookmarkEnd w:id="66"/>
      <w:bookmarkEnd w:id="67"/>
      <w:bookmarkEnd w:id="68"/>
      <w:bookmarkEnd w:id="69"/>
    </w:p>
    <w:p>
      <w:pPr>
        <w:widowControl/>
        <w:spacing w:line="360" w:lineRule="auto"/>
        <w:ind w:left="480" w:firstLine="480" w:firstLineChars="200"/>
        <w:rPr>
          <w:bCs/>
          <w:sz w:val="24"/>
          <w:lang w:val="mn-MN"/>
        </w:rPr>
      </w:pPr>
      <w:r>
        <w:rPr>
          <w:bCs/>
          <w:sz w:val="24"/>
        </w:rPr>
        <w:t>（1）</w:t>
      </w:r>
      <w:r>
        <w:rPr>
          <w:bCs/>
          <w:sz w:val="24"/>
          <w:cs/>
          <w:lang w:val="mn-MN"/>
        </w:rPr>
        <w:t xml:space="preserve">Тус тендэр нь улсын тендэрийн хуулийн заалт, групп компанийн тендэрийн худалдан авалтын менежментийн журам болон Шинь Шинь ХХК-н худалдан авалтын менежментийн арга, холбогдох журамаар хэрэгжинэ. </w:t>
      </w:r>
    </w:p>
    <w:p>
      <w:pPr>
        <w:widowControl/>
        <w:spacing w:line="360" w:lineRule="auto"/>
        <w:ind w:left="480" w:firstLine="480" w:firstLineChars="200"/>
        <w:rPr>
          <w:bCs/>
          <w:sz w:val="24"/>
        </w:rPr>
      </w:pPr>
      <w:r>
        <w:rPr>
          <w:bCs/>
          <w:sz w:val="24"/>
        </w:rPr>
        <w:t>本次招标依据国家招标法律法规、中国中铁股份有限公司招标采购管理规定、中铁资源集团有限公司及新鑫有限责任公司采购管理办法及相关规定执行。</w:t>
      </w:r>
    </w:p>
    <w:p>
      <w:pPr>
        <w:widowControl/>
        <w:spacing w:line="360" w:lineRule="auto"/>
        <w:ind w:left="480" w:firstLine="480" w:firstLineChars="200"/>
        <w:rPr>
          <w:bCs/>
          <w:sz w:val="24"/>
          <w:lang w:val="mn-MN"/>
        </w:rPr>
      </w:pPr>
      <w:r>
        <w:rPr>
          <w:bCs/>
          <w:sz w:val="24"/>
        </w:rPr>
        <w:t>（2）</w:t>
      </w:r>
      <w:r>
        <w:rPr>
          <w:bCs/>
          <w:sz w:val="24"/>
          <w:cs/>
          <w:lang w:val="mn-MN"/>
        </w:rPr>
        <w:t xml:space="preserve">Тендэр зарлагч нь “ Тендэрт оролцогчийн мэдвэл зохих зүйл” -д тендэр нээх хугацаа болон газрыг заасан. Тендэр нээхэд техникийн болон асуулт хариултын явцыг дөхөм болгохын тулд тендэрт оролцогчийн төлөөлөгчийг тендэрт оролцуулах эсвэл утсаар холбогдох боломжоор хангана. </w:t>
      </w:r>
      <w:r>
        <w:rPr>
          <w:rFonts w:hint="eastAsia"/>
          <w:bCs/>
          <w:sz w:val="24"/>
          <w:cs/>
          <w:lang w:val="mn-MN"/>
        </w:rPr>
        <w:t>Эсвэл видео бичлэгээр оролцоорой</w:t>
      </w:r>
    </w:p>
    <w:p>
      <w:pPr>
        <w:widowControl/>
        <w:spacing w:line="360" w:lineRule="auto"/>
        <w:ind w:left="480" w:firstLine="480" w:firstLineChars="200"/>
        <w:rPr>
          <w:bCs/>
          <w:sz w:val="24"/>
        </w:rPr>
      </w:pPr>
      <w:r>
        <w:rPr>
          <w:bCs/>
          <w:sz w:val="24"/>
        </w:rPr>
        <w:t>招标人在“投标人须知前附表”规定的时间和地点开标。为便于开标现场的技术交流和答疑，投标人可派代表参加开</w:t>
      </w:r>
      <w:r>
        <w:rPr>
          <w:bCs/>
          <w:sz w:val="24"/>
          <w:highlight w:val="none"/>
        </w:rPr>
        <w:t>标或或</w:t>
      </w:r>
      <w:r>
        <w:rPr>
          <w:rFonts w:hint="eastAsia"/>
          <w:bCs/>
          <w:sz w:val="24"/>
          <w:highlight w:val="none"/>
          <w:lang w:val="en-US" w:eastAsia="zh-CN"/>
        </w:rPr>
        <w:t>视频参加</w:t>
      </w:r>
      <w:r>
        <w:rPr>
          <w:bCs/>
          <w:sz w:val="24"/>
          <w:highlight w:val="none"/>
        </w:rPr>
        <w:t>。。</w:t>
      </w:r>
    </w:p>
    <w:p>
      <w:pPr>
        <w:widowControl/>
        <w:spacing w:line="360" w:lineRule="auto"/>
        <w:ind w:left="480" w:firstLine="480" w:firstLineChars="200"/>
        <w:rPr>
          <w:bCs/>
          <w:sz w:val="24"/>
          <w:lang w:val="mn-MN"/>
        </w:rPr>
      </w:pPr>
      <w:r>
        <w:rPr>
          <w:bCs/>
          <w:sz w:val="24"/>
        </w:rPr>
        <w:t>（3）</w:t>
      </w:r>
      <w:r>
        <w:rPr>
          <w:bCs/>
          <w:sz w:val="24"/>
          <w:cs/>
          <w:lang w:val="mn-MN"/>
        </w:rPr>
        <w:t xml:space="preserve">Тендэр зарлагч нь дараалалын дагуу тендэрээ нээж, тендэрийн хугацаа дуусахаас өмнө ирүүлсэн тендэрийн бичиг баримтан дахь тендэрт оролцогчийн нэр, тендэрийн бичиг баримтын битүүмжилсэн байдлыг шалгаж, дараалалын дагуу олны өмнө нээнэ. Тендэр зарлагч нь “Үнийн саналын хүснэгт” болон шаардлагатай агуулгыг олон нийтэд зарлана. Нийтэд зарласан тэмдэглэл хөтөлж тендэрт оролцогчдын итгэмжилсэн төлөөлөгчид гарын үсэг зурна. </w:t>
      </w:r>
    </w:p>
    <w:p>
      <w:pPr>
        <w:widowControl/>
        <w:spacing w:line="360" w:lineRule="auto"/>
        <w:ind w:left="480" w:firstLine="480" w:firstLineChars="200"/>
        <w:rPr>
          <w:bCs/>
          <w:sz w:val="24"/>
        </w:rPr>
      </w:pPr>
      <w:r>
        <w:rPr>
          <w:bCs/>
          <w:sz w:val="24"/>
        </w:rPr>
        <w:t>招标人组织按照程序进行开标，公布在投标截止时间前递交投标文件的投标人名称，检查投标文件的密封情况，按顺序当众开标。招标人对“开标一览表”及招标人认为必要的内容公开唱标，公开唱标应予记录并经投标人全权代表签字确认。</w:t>
      </w:r>
    </w:p>
    <w:p>
      <w:pPr>
        <w:widowControl/>
        <w:spacing w:line="360" w:lineRule="auto"/>
        <w:ind w:left="480" w:firstLine="480" w:firstLineChars="200"/>
        <w:rPr>
          <w:bCs/>
          <w:sz w:val="24"/>
          <w:lang w:val="mn-MN"/>
        </w:rPr>
      </w:pPr>
      <w:r>
        <w:rPr>
          <w:bCs/>
          <w:sz w:val="24"/>
        </w:rPr>
        <w:t>（4）</w:t>
      </w:r>
      <w:r>
        <w:rPr>
          <w:bCs/>
          <w:sz w:val="24"/>
          <w:cs/>
          <w:lang w:val="mn-MN"/>
        </w:rPr>
        <w:t xml:space="preserve">Тендэр нээх үед тендэрт оролцогчийн “ Үнийн саналын хүснэгт” тендэрийн бичиг баримтын агуулгад зөрүү байвал “Үнийн саналын хүснэгт”-г баримжаа болгоно. Тендэрт оролцогчийн цуцлах мэдэгдэл нь 5 дугаар зүйлийн 7 дугаар заалтын дагуу хүргэгдсэн бол тендэрийн бичгийг задлахгүй. </w:t>
      </w:r>
    </w:p>
    <w:p>
      <w:pPr>
        <w:widowControl/>
        <w:spacing w:line="360" w:lineRule="auto"/>
        <w:ind w:left="480" w:firstLine="480" w:firstLineChars="200"/>
        <w:rPr>
          <w:bCs/>
          <w:sz w:val="24"/>
        </w:rPr>
      </w:pPr>
      <w:r>
        <w:rPr>
          <w:bCs/>
          <w:sz w:val="24"/>
        </w:rPr>
        <w:t>开标时若投标人的“开标一览表”与其投标文件在内容上有出入，以“开标一览表”为准；若投标人的撤消投标通知按第五章第7条要求送达，则其投标文件将不予打开。</w:t>
      </w:r>
    </w:p>
    <w:p>
      <w:pPr>
        <w:pStyle w:val="4"/>
        <w:numPr>
          <w:ilvl w:val="0"/>
          <w:numId w:val="0"/>
        </w:numPr>
        <w:spacing w:line="360" w:lineRule="auto"/>
        <w:ind w:left="240"/>
        <w:rPr>
          <w:rFonts w:ascii="Times New Roman" w:hAnsi="Times New Roman" w:eastAsia="宋体" w:cs="Times New Roman"/>
          <w:bCs/>
          <w:sz w:val="24"/>
          <w:szCs w:val="24"/>
          <w:cs/>
          <w:lang w:val="mn-MN"/>
        </w:rPr>
      </w:pPr>
      <w:bookmarkStart w:id="70" w:name="_Toc183017262"/>
      <w:bookmarkStart w:id="71" w:name="_Toc510187791"/>
      <w:bookmarkStart w:id="72" w:name="_Toc11524"/>
      <w:bookmarkStart w:id="73" w:name="_Toc513214176"/>
      <w:r>
        <w:rPr>
          <w:rFonts w:ascii="Times New Roman" w:hAnsi="Times New Roman" w:eastAsia="宋体" w:cs="Times New Roman"/>
          <w:bCs/>
          <w:sz w:val="24"/>
          <w:szCs w:val="24"/>
          <w:cs/>
          <w:lang w:val="mn-MN"/>
        </w:rPr>
        <w:t>2 . Үнэлгээ</w:t>
      </w:r>
    </w:p>
    <w:p>
      <w:pPr>
        <w:pStyle w:val="4"/>
        <w:numPr>
          <w:ilvl w:val="0"/>
          <w:numId w:val="0"/>
        </w:numPr>
        <w:spacing w:line="360" w:lineRule="auto"/>
        <w:ind w:left="240"/>
        <w:rPr>
          <w:rFonts w:ascii="Times New Roman" w:hAnsi="Times New Roman" w:eastAsia="宋体" w:cs="Times New Roman"/>
          <w:bCs/>
          <w:sz w:val="24"/>
          <w:szCs w:val="24"/>
        </w:rPr>
      </w:pPr>
      <w:r>
        <w:rPr>
          <w:rFonts w:ascii="Times New Roman" w:hAnsi="Times New Roman" w:eastAsia="宋体" w:cs="Times New Roman"/>
          <w:bCs/>
          <w:sz w:val="24"/>
          <w:szCs w:val="24"/>
        </w:rPr>
        <w:t>评标</w:t>
      </w:r>
      <w:bookmarkEnd w:id="70"/>
      <w:bookmarkEnd w:id="71"/>
      <w:bookmarkEnd w:id="72"/>
      <w:bookmarkEnd w:id="73"/>
    </w:p>
    <w:p>
      <w:pPr>
        <w:widowControl/>
        <w:spacing w:line="360" w:lineRule="auto"/>
        <w:ind w:left="480" w:firstLine="480" w:firstLineChars="200"/>
        <w:rPr>
          <w:bCs/>
          <w:sz w:val="24"/>
          <w:lang w:val="mn-MN"/>
        </w:rPr>
      </w:pPr>
      <w:r>
        <w:rPr>
          <w:bCs/>
          <w:sz w:val="24"/>
          <w:cs/>
          <w:lang w:val="mn-MN"/>
        </w:rPr>
        <w:t xml:space="preserve">Үнэлгээг тендэр зарлагчийн байгуулсан үнэлгээний коммис хариуцна. Үнэлгээний коммисийн бүрэлдэхүүн холбогдох журамын дагуу сонгоно. Үнэлгээний коммис нь тендэр зарлагчийн “Үнэлгээний арга”-р тогтсон арга, шалгаруулалтын хүчин зүйл, стандарт, болон дэс дарааллын дагуу тендэрийн бичиг баримтанд үнэлгээ хийнэ. </w:t>
      </w:r>
    </w:p>
    <w:p>
      <w:pPr>
        <w:widowControl/>
        <w:spacing w:line="360" w:lineRule="auto"/>
        <w:ind w:left="480" w:firstLine="480" w:firstLineChars="200"/>
        <w:rPr>
          <w:bCs/>
          <w:sz w:val="24"/>
        </w:rPr>
      </w:pPr>
      <w:r>
        <w:rPr>
          <w:bCs/>
          <w:sz w:val="24"/>
        </w:rPr>
        <w:t>评标由招标人组建的评标委员会负责，评标委员会成员按照相关规定抽取。评标委员会按照招标人的“评标办法”规定的方法、评审因素、标准和程序对投标文件进行评审。</w:t>
      </w:r>
    </w:p>
    <w:p>
      <w:pPr>
        <w:pStyle w:val="4"/>
        <w:numPr>
          <w:ilvl w:val="0"/>
          <w:numId w:val="0"/>
        </w:numPr>
        <w:spacing w:line="360" w:lineRule="auto"/>
        <w:rPr>
          <w:rFonts w:ascii="Times New Roman" w:hAnsi="Times New Roman" w:eastAsia="宋体" w:cs="Times New Roman"/>
          <w:bCs/>
          <w:sz w:val="24"/>
          <w:szCs w:val="24"/>
          <w:lang w:val="mn-MN"/>
        </w:rPr>
      </w:pPr>
      <w:bookmarkStart w:id="74" w:name="_Toc13568"/>
      <w:bookmarkStart w:id="75" w:name="_Toc183017263"/>
      <w:bookmarkStart w:id="76" w:name="_Toc513214177"/>
      <w:bookmarkStart w:id="77" w:name="_Toc510187792"/>
      <w:r>
        <w:rPr>
          <w:rFonts w:ascii="Times New Roman" w:hAnsi="Times New Roman" w:eastAsia="宋体" w:cs="Times New Roman"/>
          <w:bCs/>
          <w:sz w:val="24"/>
          <w:szCs w:val="24"/>
          <w:cs/>
          <w:lang w:val="mn-MN"/>
        </w:rPr>
        <w:t>3 . Тендэрийн бичиг баримтын хяналт болон хариу гаргасан байдлыг батлах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对投标文件的审查和响应性的确定</w:t>
      </w:r>
      <w:bookmarkEnd w:id="74"/>
      <w:bookmarkEnd w:id="75"/>
      <w:bookmarkEnd w:id="76"/>
      <w:bookmarkEnd w:id="77"/>
    </w:p>
    <w:p>
      <w:pPr>
        <w:widowControl/>
        <w:spacing w:line="360" w:lineRule="auto"/>
        <w:ind w:left="480" w:firstLine="480" w:firstLineChars="200"/>
        <w:rPr>
          <w:bCs/>
          <w:sz w:val="24"/>
          <w:lang w:val="mn-MN"/>
        </w:rPr>
      </w:pPr>
      <w:r>
        <w:rPr>
          <w:bCs/>
          <w:sz w:val="24"/>
        </w:rPr>
        <w:t>（1）</w:t>
      </w:r>
      <w:r>
        <w:rPr>
          <w:bCs/>
          <w:sz w:val="24"/>
          <w:cs/>
          <w:lang w:val="mn-MN"/>
        </w:rPr>
        <w:t>Үнэлгээний коммис нь тендэрийн бичиг баримтын хүчинтэй байдал, гүйцэтгэлийн байлал болон хариу гаргасан байдлыг хангасан эсэхийг шалгаж, холбогдох бүртгэл хөтөлж, үнэлгээний зарчмаар тендэрт оролцогчдын нэрсийг тогтооно. Тендерт оролцогчид нь шалгалтад тэнцсэн бүх оролцогч байна.</w:t>
      </w:r>
    </w:p>
    <w:p>
      <w:pPr>
        <w:widowControl/>
        <w:spacing w:line="360" w:lineRule="auto"/>
        <w:ind w:left="480" w:firstLine="480" w:firstLineChars="200"/>
        <w:rPr>
          <w:bCs/>
          <w:sz w:val="24"/>
        </w:rPr>
      </w:pPr>
      <w:r>
        <w:rPr>
          <w:bCs/>
          <w:sz w:val="24"/>
        </w:rPr>
        <w:t>评标委员会对投标文件的有效性、完整性和响应程度进行符合性审查，记录有关情况，确定进入评标程序的投标人名单。进入评标程序的投标人必须是通过审查的所有投标人。</w:t>
      </w:r>
    </w:p>
    <w:p>
      <w:pPr>
        <w:widowControl/>
        <w:numPr>
          <w:ilvl w:val="0"/>
          <w:numId w:val="18"/>
        </w:numPr>
        <w:spacing w:line="360" w:lineRule="auto"/>
        <w:ind w:left="480" w:firstLine="840"/>
        <w:rPr>
          <w:bCs/>
          <w:sz w:val="24"/>
          <w:cs/>
          <w:lang w:val="mn-MN"/>
        </w:rPr>
      </w:pPr>
      <w:r>
        <w:rPr>
          <w:bCs/>
          <w:sz w:val="24"/>
          <w:cs/>
          <w:lang w:val="mn-MN"/>
        </w:rPr>
        <w:t xml:space="preserve">Тендэр нээсний дараа үнэлгээний комисс нь материалын бүрэн бүтэн байдал, тооцоолол зөв эсэх, гарын үсэг зурж  баталгаажуулсан эсэхийг шалгана. Нэгжийн үнэ болон нийт үнэ зөрвөл нэгжийн үнээр тооцон нийт үнийг засна. Үсгээр бичсэн дүн тоогоор бичсэн дүн нь зөрвөл,үсгээр бичсэнээр тооцон, хэрвээ тэндэрт оролцогч нь зассан дүнг хүлээн зөвшөөрөхгүй бол тэндэрийг цуцална. </w:t>
      </w:r>
    </w:p>
    <w:p>
      <w:pPr>
        <w:widowControl/>
        <w:spacing w:line="360" w:lineRule="auto"/>
        <w:ind w:left="420" w:leftChars="200" w:firstLine="840"/>
        <w:rPr>
          <w:bCs/>
          <w:sz w:val="24"/>
        </w:rPr>
      </w:pPr>
      <w:r>
        <w:rPr>
          <w:bCs/>
          <w:sz w:val="24"/>
          <w:cs/>
          <w:lang w:val="mn-MN"/>
        </w:rPr>
        <w:t xml:space="preserve"> </w:t>
      </w:r>
      <w:r>
        <w:rPr>
          <w:bCs/>
          <w:sz w:val="24"/>
        </w:rPr>
        <w:t>开标后，评标委员会将审查投标文件是否完整、是否计算错误、文件是否恰当地签署。如果单价与总价有出入，则以单价为准，修正总价。若大写与小写数字间有出入，则以大写金额为准。若投标人拒绝接受上述修正，其投标将被废除。</w:t>
      </w:r>
    </w:p>
    <w:p>
      <w:pPr>
        <w:widowControl/>
        <w:spacing w:line="360" w:lineRule="auto"/>
        <w:ind w:left="480" w:firstLine="480" w:firstLineChars="200"/>
        <w:rPr>
          <w:bCs/>
          <w:sz w:val="24"/>
          <w:lang w:val="mn-MN"/>
        </w:rPr>
      </w:pPr>
      <w:r>
        <w:rPr>
          <w:bCs/>
          <w:sz w:val="24"/>
        </w:rPr>
        <w:t>（3）</w:t>
      </w:r>
      <w:r>
        <w:rPr>
          <w:bCs/>
          <w:sz w:val="24"/>
          <w:cs/>
          <w:lang w:val="mn-MN"/>
        </w:rPr>
        <w:t xml:space="preserve">Тендэрийн бичиг баримтанд үнэлгээ хийхийн өмнө үнэлгээний коммис нь тендэрийн бичиг баримтын шаардлагад бодитой хариу гаргасан эсэх, томоохон зөрөө байгаа эсэхийг тогтооно. </w:t>
      </w:r>
    </w:p>
    <w:p>
      <w:pPr>
        <w:widowControl/>
        <w:spacing w:line="360" w:lineRule="auto"/>
        <w:ind w:left="480" w:firstLine="480" w:firstLineChars="200"/>
        <w:rPr>
          <w:bCs/>
          <w:sz w:val="24"/>
        </w:rPr>
      </w:pPr>
      <w:r>
        <w:rPr>
          <w:bCs/>
          <w:sz w:val="24"/>
        </w:rPr>
        <w:t>在对投标文件进行详细评估之前，评标委员会将确定每一标定是否对招标文件的要求做出了实质性的响应而没有重大偏离。</w:t>
      </w:r>
    </w:p>
    <w:p>
      <w:pPr>
        <w:widowControl/>
        <w:spacing w:line="360" w:lineRule="auto"/>
        <w:ind w:left="480" w:firstLine="480" w:firstLineChars="200"/>
        <w:rPr>
          <w:bCs/>
          <w:sz w:val="24"/>
          <w:lang w:val="mn-MN"/>
        </w:rPr>
      </w:pPr>
      <w:r>
        <w:rPr>
          <w:bCs/>
          <w:sz w:val="24"/>
        </w:rPr>
        <w:t>（4）</w:t>
      </w:r>
      <w:r>
        <w:rPr>
          <w:bCs/>
          <w:sz w:val="24"/>
          <w:cs/>
          <w:lang w:val="mn-MN"/>
        </w:rPr>
        <w:t>Томоохон зөрөө нь гэрээний зүйл заалт, бараа нийлүүлэх цар хүрээ, чанар болон чадамжинд нөлөөлөх эсвэл худалдан авагч талын бүрэн эрх болон тендэрт оролцогчийн үүргийг хязгаарлах учир эдгээр нөлөөг засах нь бусад тендэрт оролцогчийн өрсөлдөх байр суурьт нөлөөлнө.</w:t>
      </w:r>
    </w:p>
    <w:p>
      <w:pPr>
        <w:widowControl/>
        <w:spacing w:line="360" w:lineRule="auto"/>
        <w:ind w:left="480" w:firstLine="480" w:firstLineChars="200"/>
        <w:rPr>
          <w:bCs/>
          <w:sz w:val="24"/>
        </w:rPr>
      </w:pPr>
      <w:r>
        <w:rPr>
          <w:bCs/>
          <w:sz w:val="24"/>
        </w:rPr>
        <w:t>重大偏离系指影响到合同项下的供货范围、质量和性能，或限制了买方的权利和投标人的义务，而纠正这些偏离将影响到其它投标人合理的竞争地位。</w:t>
      </w:r>
    </w:p>
    <w:p>
      <w:pPr>
        <w:widowControl/>
        <w:spacing w:line="360" w:lineRule="auto"/>
        <w:ind w:left="480" w:firstLine="480" w:firstLineChars="200"/>
        <w:rPr>
          <w:bCs/>
          <w:sz w:val="24"/>
          <w:lang w:val="mn-MN"/>
        </w:rPr>
      </w:pPr>
      <w:r>
        <w:rPr>
          <w:bCs/>
          <w:sz w:val="24"/>
        </w:rPr>
        <w:t>（5）</w:t>
      </w:r>
      <w:r>
        <w:rPr>
          <w:bCs/>
          <w:sz w:val="24"/>
          <w:cs/>
          <w:lang w:val="mn-MN"/>
        </w:rPr>
        <w:t>Тендэрийн коммис нь хариу гаргаагүй тендэрийн бичиг баримтнаас татгалзана. Теэдэрт оролцогч нь засах эсвэл зохисгүй зүйлийг буцаах байдлаар тендэрийн бичиг баримтаа хариу гаргасан байдалд оруулж болохгүй.</w:t>
      </w:r>
    </w:p>
    <w:p>
      <w:pPr>
        <w:widowControl/>
        <w:spacing w:line="360" w:lineRule="auto"/>
        <w:ind w:left="480" w:firstLine="480" w:firstLineChars="200"/>
        <w:rPr>
          <w:bCs/>
          <w:sz w:val="24"/>
        </w:rPr>
      </w:pPr>
      <w:r>
        <w:rPr>
          <w:bCs/>
          <w:sz w:val="24"/>
        </w:rPr>
        <w:t>评标委员会将拒绝被定为非响应性的投标，投标人不能通过修正或撤消不符之处而使其投标成为响应性投标。</w:t>
      </w:r>
    </w:p>
    <w:p>
      <w:pPr>
        <w:widowControl/>
        <w:spacing w:line="360" w:lineRule="auto"/>
        <w:ind w:left="480" w:firstLine="480" w:firstLineChars="200"/>
        <w:rPr>
          <w:bCs/>
          <w:sz w:val="24"/>
          <w:lang w:val="mn-MN"/>
        </w:rPr>
      </w:pPr>
      <w:r>
        <w:rPr>
          <w:bCs/>
          <w:sz w:val="24"/>
        </w:rPr>
        <w:t>（6）</w:t>
      </w:r>
      <w:r>
        <w:rPr>
          <w:bCs/>
          <w:sz w:val="24"/>
          <w:cs/>
          <w:lang w:val="mn-MN"/>
        </w:rPr>
        <w:t xml:space="preserve">Тендэрийн үнэлгээний коммис нь тендэрт оролцоход бага зэргийн тохиромжгүй жигд бус байдлыг зөвшөөрнө. Гэхдээ тус  бага зэргийн байдал нь томоохон зөрөө үүсгэхгүй. </w:t>
      </w:r>
    </w:p>
    <w:p>
      <w:pPr>
        <w:widowControl/>
        <w:spacing w:line="360" w:lineRule="auto"/>
        <w:ind w:left="480" w:firstLine="480" w:firstLineChars="200"/>
        <w:rPr>
          <w:bCs/>
          <w:sz w:val="24"/>
        </w:rPr>
      </w:pPr>
      <w:r>
        <w:rPr>
          <w:bCs/>
          <w:sz w:val="24"/>
        </w:rPr>
        <w:t>评标委员会将允许投标中有微小的不正规、不一致或不规则，而该微小之处不构成重大偏离。</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78" w:name="_Toc183017264"/>
      <w:bookmarkStart w:id="79" w:name="_Toc510187793"/>
      <w:bookmarkStart w:id="80" w:name="_Toc17587"/>
      <w:bookmarkStart w:id="81" w:name="_Toc513214178"/>
      <w:r>
        <w:rPr>
          <w:rFonts w:ascii="Times New Roman" w:hAnsi="Times New Roman" w:eastAsia="宋体" w:cs="Times New Roman"/>
          <w:bCs/>
          <w:sz w:val="24"/>
          <w:szCs w:val="24"/>
        </w:rPr>
        <w:t>4</w:t>
      </w:r>
      <w:r>
        <w:rPr>
          <w:rFonts w:ascii="Times New Roman" w:hAnsi="Times New Roman" w:eastAsia="宋体" w:cs="Times New Roman"/>
          <w:bCs/>
          <w:sz w:val="24"/>
          <w:szCs w:val="24"/>
          <w:cs/>
          <w:lang w:val="mn-MN"/>
        </w:rPr>
        <w:t xml:space="preserve"> . Тендэрийн бичиг баримтын үнэлгээ</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对投标文件的评估</w:t>
      </w:r>
      <w:bookmarkEnd w:id="78"/>
      <w:bookmarkEnd w:id="79"/>
      <w:bookmarkEnd w:id="80"/>
      <w:bookmarkEnd w:id="81"/>
    </w:p>
    <w:p>
      <w:pPr>
        <w:ind w:left="480" w:firstLine="840"/>
        <w:rPr>
          <w:sz w:val="24"/>
          <w:lang w:val="mn-MN"/>
        </w:rPr>
      </w:pPr>
      <w:r>
        <w:rPr>
          <w:bCs/>
          <w:sz w:val="24"/>
          <w:cs/>
          <w:lang w:val="mn-MN"/>
        </w:rPr>
        <w:t xml:space="preserve">Тендэрийн үнэлгээний коммис нь тендэрт бодит хариу гаргасан тендэрийн бичиг баримтанд үнэлгээ хийнэ. </w:t>
      </w:r>
    </w:p>
    <w:p>
      <w:pPr>
        <w:widowControl/>
        <w:spacing w:line="360" w:lineRule="auto"/>
        <w:ind w:left="480" w:firstLine="480" w:firstLineChars="200"/>
        <w:rPr>
          <w:bCs/>
          <w:sz w:val="24"/>
        </w:rPr>
      </w:pPr>
      <w:r>
        <w:rPr>
          <w:bCs/>
          <w:sz w:val="24"/>
        </w:rPr>
        <w:t>评标委员会将对能实质性地响应招标文件的投标文件进行评估。</w:t>
      </w:r>
    </w:p>
    <w:p>
      <w:pPr>
        <w:pStyle w:val="4"/>
        <w:numPr>
          <w:ilvl w:val="0"/>
          <w:numId w:val="0"/>
        </w:numPr>
        <w:spacing w:line="360" w:lineRule="auto"/>
        <w:ind w:firstLine="482" w:firstLineChars="200"/>
        <w:rPr>
          <w:rFonts w:ascii="Times New Roman" w:hAnsi="Times New Roman" w:eastAsia="宋体" w:cs="Times New Roman"/>
          <w:bCs/>
          <w:sz w:val="24"/>
          <w:szCs w:val="24"/>
          <w:lang w:val="mn-MN"/>
        </w:rPr>
      </w:pPr>
      <w:bookmarkStart w:id="82" w:name="_Toc183017265"/>
      <w:bookmarkStart w:id="83" w:name="_Toc26011"/>
      <w:bookmarkStart w:id="84" w:name="_Toc510187794"/>
      <w:bookmarkStart w:id="85" w:name="_Toc513214179"/>
      <w:r>
        <w:rPr>
          <w:rFonts w:ascii="Times New Roman" w:hAnsi="Times New Roman" w:eastAsia="宋体" w:cs="Times New Roman"/>
          <w:bCs/>
          <w:sz w:val="24"/>
          <w:szCs w:val="24"/>
          <w:cs/>
          <w:lang w:val="mn-MN"/>
        </w:rPr>
        <w:t>5 . Ерөнхий үнэлгээний арга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综合评分法</w:t>
      </w:r>
      <w:bookmarkEnd w:id="82"/>
      <w:bookmarkEnd w:id="83"/>
      <w:bookmarkEnd w:id="84"/>
      <w:bookmarkEnd w:id="85"/>
    </w:p>
    <w:p>
      <w:pPr>
        <w:widowControl/>
        <w:spacing w:line="360" w:lineRule="auto"/>
        <w:ind w:firstLine="960" w:firstLineChars="400"/>
        <w:rPr>
          <w:bCs/>
          <w:sz w:val="24"/>
          <w:lang w:val="mn-MN"/>
        </w:rPr>
      </w:pPr>
      <w:r>
        <w:rPr>
          <w:bCs/>
          <w:sz w:val="24"/>
          <w:cs/>
          <w:lang w:val="mn-MN"/>
        </w:rPr>
        <w:t>Үнэлгээний арга</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bookmarkStart w:id="86" w:name="_Hlk183071481"/>
      <w:r>
        <w:rPr>
          <w:rFonts w:hint="default" w:ascii="Times New Roman" w:hAnsi="Times New Roman" w:cs="Times New Roman"/>
          <w:bCs/>
          <w:color w:val="auto"/>
          <w:sz w:val="24"/>
          <w:szCs w:val="24"/>
          <w:highlight w:val="none"/>
        </w:rPr>
        <w:t>评标基准价=有效投标报价平均值</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以“投标总价”为计算依据，计算有效投标报价的平均值作为评标基准价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Хүчинтэй үнийн саналын тоо 5 -с бага буюу </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 компани байвал</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шууд дундаж үнийг тооцоолж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有效报价数量在5家以内（含5家），直接算术平均计算评标基准价。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Хүчинтэй үнийн санал 5-аас олон бол хамгийн өндөр болон хамгийн доод үнийг хассаны дараа  үлдсэн үнийн саналуудын дунджыг тооцож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有效报价数量高于5家，去掉一个最高值和一个最低值后算术平均计算评标基准价。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Үнийн саналын зөрүү хувийг тооцоолох </w:t>
      </w:r>
    </w:p>
    <w:bookmarkEnd w:id="86"/>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计算投标报价的偏差率δ</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w:t>
      </w:r>
      <w:r>
        <w:rPr>
          <w:rFonts w:hint="default" w:ascii="Times New Roman" w:hAnsi="Times New Roman" w:cs="Times New Roman"/>
          <w:bCs/>
          <w:sz w:val="24"/>
          <w:szCs w:val="24"/>
          <w:highlight w:val="none"/>
          <w:cs/>
          <w:lang w:val="mn-MN"/>
        </w:rPr>
        <w:t xml:space="preserve">тендэрт оролцогчын үнийн санал </w:t>
      </w:r>
      <w:r>
        <w:rPr>
          <w:rFonts w:hint="default" w:ascii="Times New Roman" w:hAnsi="Times New Roman" w:cs="Times New Roman"/>
          <w:sz w:val="24"/>
          <w:szCs w:val="24"/>
          <w:highlight w:val="none"/>
          <w:cs/>
        </w:rPr>
        <w:t xml:space="preserve"> –</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bCs/>
          <w:sz w:val="24"/>
          <w:szCs w:val="24"/>
          <w:highlight w:val="none"/>
          <w:cs/>
          <w:lang w:val="mn-MN"/>
        </w:rPr>
        <w:t>тендэрийн үнэлгээний үндсэн үнэ</w:t>
      </w:r>
      <w:r>
        <w:rPr>
          <w:rFonts w:hint="default" w:ascii="Times New Roman" w:hAnsi="Times New Roman" w:cs="Times New Roman"/>
          <w:bCs/>
          <w:sz w:val="24"/>
          <w:szCs w:val="24"/>
          <w:highlight w:val="none"/>
        </w:rPr>
        <w:t>】÷</w:t>
      </w:r>
      <w:r>
        <w:rPr>
          <w:rFonts w:hint="default" w:ascii="Times New Roman" w:hAnsi="Times New Roman" w:cs="Times New Roman"/>
          <w:bCs/>
          <w:sz w:val="24"/>
          <w:szCs w:val="24"/>
          <w:highlight w:val="none"/>
          <w:cs/>
          <w:lang w:val="mn-MN"/>
        </w:rPr>
        <w:t>үнэлгээний үндсэн үнэ</w:t>
      </w:r>
      <w:r>
        <w:rPr>
          <w:rFonts w:hint="default" w:ascii="Times New Roman" w:hAnsi="Times New Roman" w:cs="Times New Roman"/>
          <w:bCs/>
          <w:sz w:val="24"/>
          <w:szCs w:val="24"/>
          <w:highlight w:val="none"/>
        </w:rPr>
        <w:t>×100%</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δ=（各有效投标人报价-评标基准价）÷评标基准价×100%</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Тендэрт оролцогчийн үнийн саналын зөрүү </w:t>
      </w:r>
      <w:r>
        <w:rPr>
          <w:rFonts w:hint="default" w:ascii="Times New Roman" w:hAnsi="Times New Roman" w:cs="Times New Roman"/>
          <w:bCs/>
          <w:sz w:val="24"/>
          <w:szCs w:val="24"/>
        </w:rPr>
        <w:t xml:space="preserve">δ </w:t>
      </w:r>
      <w:r>
        <w:rPr>
          <w:rFonts w:hint="default" w:ascii="Times New Roman" w:hAnsi="Times New Roman" w:cs="Times New Roman"/>
          <w:bCs/>
          <w:sz w:val="24"/>
          <w:szCs w:val="24"/>
          <w:cs/>
          <w:lang w:val="mn-MN"/>
        </w:rPr>
        <w:t xml:space="preserve">тендэрт оролцогчдын үнийн саналын оноог дараах байдлаар тооцно. </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依据投标人报价的偏差率δ，确定投标人报价得分如下：</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当δ=0时，得分</w:t>
      </w:r>
      <w:r>
        <w:rPr>
          <w:rFonts w:hint="eastAsia" w:cs="Times New Roman"/>
          <w:bCs/>
          <w:color w:val="FF0000"/>
          <w:sz w:val="24"/>
          <w:szCs w:val="24"/>
          <w:lang w:val="en-US" w:eastAsia="zh-CN"/>
        </w:rPr>
        <w:t>80</w:t>
      </w:r>
      <w:r>
        <w:rPr>
          <w:rFonts w:hint="default" w:ascii="Times New Roman" w:hAnsi="Times New Roman" w:cs="Times New Roman"/>
          <w:bCs/>
          <w:sz w:val="24"/>
          <w:szCs w:val="24"/>
        </w:rPr>
        <w:t>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ихсэх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онооноос 1 оноо хасна, хамгийн ихдээ 20 оноо хасна.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当δ＞0时，每高0.5%，</w:t>
      </w:r>
      <w:bookmarkStart w:id="87" w:name="_Hlk183072381"/>
      <w:r>
        <w:rPr>
          <w:rFonts w:hint="default" w:ascii="Times New Roman" w:hAnsi="Times New Roman" w:cs="Times New Roman"/>
          <w:bCs/>
          <w:sz w:val="24"/>
          <w:szCs w:val="24"/>
        </w:rPr>
        <w:t>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分基础上扣1分，</w:t>
      </w:r>
      <w:bookmarkEnd w:id="87"/>
      <w:r>
        <w:rPr>
          <w:rFonts w:hint="default" w:ascii="Times New Roman" w:hAnsi="Times New Roman" w:cs="Times New Roman"/>
          <w:bCs/>
          <w:sz w:val="24"/>
          <w:szCs w:val="24"/>
        </w:rPr>
        <w:t>最多扣20分；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багасах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 дээр 1 оноо нэмнэ, хамгийн ихдээ 20 оноо нэмэгдэнэ.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当δ＜0时，每低0.5%，在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分基础上加1分，最多加20分；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Тендэрийн үнэлгээг өөрчлөх</w:t>
      </w:r>
    </w:p>
    <w:p>
      <w:pPr>
        <w:widowControl/>
        <w:spacing w:line="360" w:lineRule="auto"/>
        <w:ind w:left="480" w:firstLine="480" w:firstLineChars="200"/>
        <w:rPr>
          <w:bCs/>
          <w:sz w:val="24"/>
        </w:rPr>
      </w:pPr>
      <w:r>
        <w:rPr>
          <w:bCs/>
          <w:sz w:val="24"/>
        </w:rPr>
        <w:t>评标修正：</w:t>
      </w:r>
    </w:p>
    <w:p>
      <w:pPr>
        <w:widowControl/>
        <w:spacing w:line="360" w:lineRule="auto"/>
        <w:ind w:left="480" w:firstLine="480" w:firstLineChars="200"/>
        <w:rPr>
          <w:bCs/>
          <w:sz w:val="24"/>
          <w:lang w:val="mn-MN"/>
        </w:rPr>
      </w:pPr>
      <w:r>
        <w:rPr>
          <w:bCs/>
          <w:sz w:val="24"/>
        </w:rPr>
        <w:t>①</w:t>
      </w:r>
      <w:r>
        <w:rPr>
          <w:bCs/>
          <w:sz w:val="24"/>
          <w:cs/>
          <w:lang w:val="mn-MN"/>
        </w:rPr>
        <w:t xml:space="preserve"> Шаардлагын дагуу үнийн санал өгөөгүй тендэрт оролцогчид дутуу зүйлсийг бусад тендэрт оролцогчийн хамгийн өндөр үнээр орлуулж засна. Илүү зүйлсийг холбогдох үнийн саналын нийт үнээс хасна.</w:t>
      </w:r>
    </w:p>
    <w:p>
      <w:pPr>
        <w:widowControl/>
        <w:spacing w:line="360" w:lineRule="auto"/>
        <w:ind w:left="480" w:firstLine="480" w:firstLineChars="200"/>
        <w:rPr>
          <w:bCs/>
          <w:sz w:val="24"/>
        </w:rPr>
      </w:pPr>
      <w:r>
        <w:rPr>
          <w:bCs/>
          <w:sz w:val="24"/>
        </w:rPr>
        <w:t>对未按要求进行报价的报价人，所漏项按此项报价其他报价人报价最高价进行价格修正,多报项从相应的报价项目和总价中予以减去；</w:t>
      </w:r>
    </w:p>
    <w:p>
      <w:pPr>
        <w:widowControl/>
        <w:spacing w:line="360" w:lineRule="auto"/>
        <w:ind w:left="420" w:leftChars="200" w:firstLine="964"/>
        <w:rPr>
          <w:bCs/>
          <w:sz w:val="24"/>
          <w:lang w:val="mn-MN"/>
        </w:rPr>
      </w:pPr>
      <w:r>
        <w:rPr>
          <w:bCs/>
          <w:sz w:val="24"/>
        </w:rPr>
        <w:t>②</w:t>
      </w:r>
      <w:r>
        <w:rPr>
          <w:bCs/>
          <w:sz w:val="24"/>
          <w:cs/>
          <w:lang w:val="mn-MN"/>
        </w:rPr>
        <w:t xml:space="preserve"> хэд хэдэн үнийн санал гаргасан бол хамгийн өндөр үнээр засаж үнэлгээ хийнэ.</w:t>
      </w:r>
    </w:p>
    <w:p>
      <w:pPr>
        <w:widowControl/>
        <w:spacing w:line="360" w:lineRule="auto"/>
        <w:ind w:left="420" w:leftChars="200" w:firstLine="964"/>
        <w:rPr>
          <w:bCs/>
          <w:sz w:val="24"/>
        </w:rPr>
      </w:pPr>
      <w:r>
        <w:rPr>
          <w:bCs/>
          <w:sz w:val="24"/>
        </w:rPr>
        <w:t>对于列举多个报价的，按最高报价进行修正后评分；</w:t>
      </w:r>
    </w:p>
    <w:p>
      <w:pPr>
        <w:widowControl/>
        <w:spacing w:line="360" w:lineRule="auto"/>
        <w:ind w:left="420" w:leftChars="200" w:firstLine="964"/>
        <w:rPr>
          <w:bCs/>
          <w:sz w:val="24"/>
          <w:lang w:val="mn-MN"/>
        </w:rPr>
      </w:pPr>
      <w:r>
        <w:rPr>
          <w:bCs/>
          <w:sz w:val="24"/>
        </w:rPr>
        <w:t>③</w:t>
      </w:r>
      <w:r>
        <w:rPr>
          <w:bCs/>
          <w:sz w:val="24"/>
          <w:cs/>
          <w:lang w:val="mn-MN"/>
        </w:rPr>
        <w:t xml:space="preserve"> файлаар явуулсан үнийн санал болон бичгээр ирүүлсэн үнийн саналын нийт үнэ зөрүүтэй бол тамга дарсан бичгээр ирүүлсэн үнийн саналыг баримтална. </w:t>
      </w:r>
    </w:p>
    <w:p>
      <w:pPr>
        <w:widowControl/>
        <w:spacing w:line="360" w:lineRule="auto"/>
        <w:ind w:left="420" w:leftChars="200" w:firstLine="964"/>
        <w:rPr>
          <w:bCs/>
          <w:sz w:val="24"/>
        </w:rPr>
      </w:pPr>
      <w:r>
        <w:rPr>
          <w:bCs/>
          <w:sz w:val="24"/>
        </w:rPr>
        <w:t>电子版线上报价和线下纸质报价文件总价不一致的，以线下纸质盖章版报价为准。</w:t>
      </w:r>
    </w:p>
    <w:p>
      <w:pPr>
        <w:widowControl/>
        <w:spacing w:line="360" w:lineRule="auto"/>
        <w:ind w:left="480" w:firstLine="480" w:firstLineChars="200"/>
        <w:rPr>
          <w:bCs/>
          <w:sz w:val="24"/>
          <w:lang w:val="mn-MN"/>
        </w:rPr>
      </w:pPr>
      <w:r>
        <w:rPr>
          <w:bCs/>
          <w:sz w:val="24"/>
          <w:cs/>
          <w:lang w:val="mn-MN"/>
        </w:rPr>
        <w:t>Ерөнхий үнэлгээний нийт оноо</w:t>
      </w:r>
    </w:p>
    <w:p>
      <w:pPr>
        <w:widowControl/>
        <w:spacing w:line="360" w:lineRule="auto"/>
        <w:ind w:left="480" w:firstLine="480" w:firstLineChars="200"/>
        <w:rPr>
          <w:bCs/>
          <w:sz w:val="24"/>
        </w:rPr>
      </w:pPr>
      <w:r>
        <w:rPr>
          <w:bCs/>
          <w:sz w:val="24"/>
        </w:rPr>
        <w:t>综合评审总分100分：</w:t>
      </w:r>
    </w:p>
    <w:p>
      <w:pPr>
        <w:widowControl/>
        <w:numPr>
          <w:ilvl w:val="0"/>
          <w:numId w:val="19"/>
        </w:numPr>
        <w:spacing w:line="360" w:lineRule="auto"/>
        <w:ind w:left="718" w:leftChars="342" w:firstLine="360" w:firstLineChars="150"/>
        <w:rPr>
          <w:bCs/>
          <w:sz w:val="24"/>
          <w:cs/>
          <w:lang w:val="mn-MN"/>
        </w:rPr>
      </w:pPr>
      <w:r>
        <w:rPr>
          <w:bCs/>
          <w:sz w:val="24"/>
          <w:cs/>
          <w:lang w:val="mn-MN"/>
        </w:rPr>
        <w:t xml:space="preserve">Тээврийн  баталгаа </w:t>
      </w:r>
      <w:r>
        <w:rPr>
          <w:bCs/>
          <w:sz w:val="24"/>
        </w:rPr>
        <w:t>（15</w:t>
      </w:r>
      <w:r>
        <w:rPr>
          <w:bCs/>
          <w:sz w:val="24"/>
          <w:lang w:val="mn-MN"/>
        </w:rPr>
        <w:t xml:space="preserve"> </w:t>
      </w:r>
      <w:r>
        <w:rPr>
          <w:bCs/>
          <w:sz w:val="24"/>
          <w:cs/>
          <w:lang w:val="mn-MN"/>
        </w:rPr>
        <w:t>оноо</w:t>
      </w:r>
      <w:r>
        <w:rPr>
          <w:bCs/>
          <w:sz w:val="24"/>
        </w:rPr>
        <w:t>）：</w:t>
      </w:r>
      <w:r>
        <w:rPr>
          <w:bCs/>
          <w:sz w:val="24"/>
          <w:cs/>
          <w:lang w:val="mn-MN"/>
        </w:rPr>
        <w:t>байгууллага нь улсын ,аж ахуйн нэгжийн болон бичиг баримт нь шаардлага хангасан байна , дээрх байдлыг үндэслэж тээвэрлэлтийн батлах систем болон авах арга хэмжээ зэрэгт уялдуулан ерөнхийлөн харгалзаж оноо өгнө .</w:t>
      </w:r>
    </w:p>
    <w:p>
      <w:pPr>
        <w:widowControl/>
        <w:spacing w:line="360" w:lineRule="auto"/>
        <w:ind w:left="638" w:leftChars="304" w:firstLine="480" w:firstLineChars="200"/>
        <w:rPr>
          <w:bCs/>
          <w:sz w:val="24"/>
        </w:rPr>
      </w:pPr>
      <w:r>
        <w:rPr>
          <w:bCs/>
          <w:sz w:val="24"/>
        </w:rPr>
        <w:t>运输保障体系（15分）：企业所资质能符合国家、行业及文件中要求的资质文件要求。根据上述情况，结合企业运输保障体系及措施等方面综合酌情评分。</w:t>
      </w:r>
    </w:p>
    <w:p>
      <w:pPr>
        <w:widowControl/>
        <w:numPr>
          <w:ilvl w:val="0"/>
          <w:numId w:val="19"/>
        </w:numPr>
        <w:spacing w:line="360" w:lineRule="auto"/>
        <w:ind w:left="718" w:leftChars="342" w:firstLine="360" w:firstLineChars="150"/>
        <w:rPr>
          <w:bCs/>
          <w:sz w:val="24"/>
          <w:cs/>
          <w:lang w:val="mn-MN"/>
        </w:rPr>
      </w:pPr>
      <w:r>
        <w:rPr>
          <w:bCs/>
          <w:sz w:val="24"/>
          <w:cs/>
          <w:lang w:val="mn-MN"/>
        </w:rPr>
        <w:t>Худалдан авалтын шаардлагад нийцэх байдал</w:t>
      </w:r>
      <w:r>
        <w:rPr>
          <w:bCs/>
          <w:sz w:val="24"/>
        </w:rPr>
        <w:t>（</w:t>
      </w:r>
      <w:r>
        <w:rPr>
          <w:bCs/>
          <w:sz w:val="24"/>
          <w:cs/>
          <w:lang w:val="mn-MN"/>
        </w:rPr>
        <w:t>20оноо</w:t>
      </w:r>
      <w:r>
        <w:rPr>
          <w:bCs/>
          <w:sz w:val="24"/>
        </w:rPr>
        <w:t>）</w:t>
      </w:r>
      <w:r>
        <w:rPr>
          <w:bCs/>
          <w:sz w:val="24"/>
          <w:cs/>
          <w:lang w:val="mn-MN"/>
        </w:rPr>
        <w:t xml:space="preserve">: Байгууллага тендэрийн бичигт шаардсан бараа нийлүүлэх тоо хэмжээг цаг тухайд чанартай тээвэрлэх ,тээвэрлэх тоног төхөөрөмж нийцэх,тоо хэмжээ тээвэрлэлтийн төлөвлөгөө зэрэгт уялдуулан ерөнхийлөн харгалзаж оноо өгнө. </w:t>
      </w:r>
    </w:p>
    <w:p>
      <w:pPr>
        <w:widowControl/>
        <w:spacing w:line="360" w:lineRule="auto"/>
        <w:ind w:left="651" w:leftChars="310" w:firstLine="379" w:firstLineChars="158"/>
        <w:rPr>
          <w:bCs/>
          <w:sz w:val="24"/>
        </w:rPr>
      </w:pPr>
      <w:r>
        <w:rPr>
          <w:bCs/>
          <w:sz w:val="24"/>
        </w:rPr>
        <w:t>采购需求的匹配度（20分）：企业能按照文件中要求的供货数量及时保质运输，结合所供运输设备匹配、数量、运输计划等方面综合酌情评分。</w:t>
      </w:r>
    </w:p>
    <w:p>
      <w:pPr>
        <w:widowControl/>
        <w:spacing w:line="360" w:lineRule="auto"/>
        <w:ind w:left="480" w:firstLine="480" w:firstLineChars="200"/>
        <w:rPr>
          <w:bCs/>
          <w:sz w:val="24"/>
          <w:lang w:val="mn-MN"/>
        </w:rPr>
      </w:pPr>
      <w:r>
        <w:rPr>
          <w:bCs/>
          <w:sz w:val="24"/>
        </w:rPr>
        <w:t>（3）</w:t>
      </w:r>
      <w:r>
        <w:rPr>
          <w:bCs/>
          <w:sz w:val="24"/>
          <w:cs/>
          <w:lang w:val="mn-MN"/>
        </w:rPr>
        <w:t>Байгууллагын гэрчилгээ болон нэр хүнд</w:t>
      </w:r>
      <w:r>
        <w:rPr>
          <w:bCs/>
          <w:sz w:val="24"/>
        </w:rPr>
        <w:t>（15</w:t>
      </w:r>
      <w:r>
        <w:rPr>
          <w:bCs/>
          <w:sz w:val="24"/>
          <w:lang w:val="mn-MN"/>
        </w:rPr>
        <w:t xml:space="preserve"> </w:t>
      </w:r>
      <w:r>
        <w:rPr>
          <w:bCs/>
          <w:sz w:val="24"/>
          <w:cs/>
          <w:lang w:val="mn-MN"/>
        </w:rPr>
        <w:t>оноо</w:t>
      </w:r>
      <w:r>
        <w:rPr>
          <w:bCs/>
          <w:sz w:val="24"/>
        </w:rPr>
        <w:t>）：</w:t>
      </w:r>
      <w:r>
        <w:rPr>
          <w:bCs/>
          <w:sz w:val="24"/>
          <w:cs/>
          <w:lang w:val="mn-MN"/>
        </w:rPr>
        <w:t>Байгууллагын гаргаж өгсөн итгэл, гэрчилгээ, нэр хүнд зэрэг бичиг баримтыг үндэслэн байгууллагын ерөнхий чадварыг судлан үнэлнэ. Байгууллагын  ойрын 3 жилийн санхүүгийн байдалыг шинжилж судална. Дээрх байдалд үндэслэн байж болзошгүй хуулийн эрсдэл зэрэгт уяалдуулан ерөнхийлөн харгалзаж оноо өгнө.</w:t>
      </w:r>
    </w:p>
    <w:p>
      <w:pPr>
        <w:widowControl/>
        <w:spacing w:line="360" w:lineRule="auto"/>
        <w:ind w:left="480" w:firstLine="480" w:firstLineChars="200"/>
        <w:rPr>
          <w:bCs/>
          <w:sz w:val="24"/>
        </w:rPr>
      </w:pPr>
      <w:r>
        <w:rPr>
          <w:bCs/>
          <w:sz w:val="24"/>
        </w:rPr>
        <w:t>企业资质及信誉（15分）：根据企业提供的信用、资质、信誉等资质文件研判企业综合能力。分析企业近3年的财务状况。根据上述情况，结合企业可能存在的潜在法律风险等方面综合酌情评分。</w:t>
      </w:r>
    </w:p>
    <w:p>
      <w:pPr>
        <w:widowControl/>
        <w:spacing w:line="360" w:lineRule="auto"/>
        <w:ind w:left="480" w:firstLine="480" w:firstLineChars="200"/>
        <w:rPr>
          <w:bCs/>
          <w:sz w:val="24"/>
          <w:lang w:val="mn-MN"/>
        </w:rPr>
      </w:pPr>
      <w:r>
        <w:rPr>
          <w:bCs/>
          <w:sz w:val="24"/>
        </w:rPr>
        <w:t>（4）</w:t>
      </w:r>
      <w:r>
        <w:rPr>
          <w:bCs/>
          <w:sz w:val="24"/>
          <w:cs/>
          <w:lang w:val="mn-MN"/>
        </w:rPr>
        <w:t>Гэрээ хэрэгжүүлэх ерөнхий чадвар</w:t>
      </w:r>
      <w:r>
        <w:rPr>
          <w:bCs/>
          <w:sz w:val="24"/>
        </w:rPr>
        <w:t>（1</w:t>
      </w:r>
      <w:r>
        <w:rPr>
          <w:bCs/>
          <w:sz w:val="24"/>
          <w:cs/>
          <w:lang w:val="mn-MN"/>
        </w:rPr>
        <w:t>0оноо</w:t>
      </w:r>
      <w:r>
        <w:rPr>
          <w:bCs/>
          <w:sz w:val="24"/>
        </w:rPr>
        <w:t>）：</w:t>
      </w:r>
      <w:r>
        <w:rPr>
          <w:bCs/>
          <w:sz w:val="24"/>
          <w:cs/>
          <w:lang w:val="mn-MN"/>
        </w:rPr>
        <w:t>Байгууллагын сүүлийн 3 жилийн тухайн бүтээгдэхүүн тээвэрлэлт  болон борлуулалтын гүйцэтгэл, хэрэглээний нөхцөлийг үнэлнэ. Дээрх байдалд үндэслэн  ерөнхий тээвэрлэлтийн  чадвар зэрэгт уяалдуулан ерөнхийлөн харгалзаж оноо өгнө.</w:t>
      </w:r>
    </w:p>
    <w:p>
      <w:pPr>
        <w:widowControl/>
        <w:spacing w:line="360" w:lineRule="auto"/>
        <w:ind w:left="480" w:firstLine="480" w:firstLineChars="200"/>
        <w:rPr>
          <w:bCs/>
          <w:sz w:val="24"/>
        </w:rPr>
      </w:pPr>
      <w:r>
        <w:rPr>
          <w:bCs/>
          <w:sz w:val="24"/>
        </w:rPr>
        <w:t>综合履约能力（10分）：企业应提供近3年同类产品的运输或业绩、使用情况评价。根据上述情况，结合企业的综合运输能力等方面综合酌情评分。</w:t>
      </w:r>
    </w:p>
    <w:p>
      <w:pPr>
        <w:widowControl/>
        <w:spacing w:line="360" w:lineRule="auto"/>
        <w:ind w:left="480" w:firstLine="480" w:firstLineChars="200"/>
        <w:rPr>
          <w:bCs/>
          <w:sz w:val="24"/>
          <w:lang w:val="mn-MN"/>
        </w:rPr>
      </w:pPr>
      <w:r>
        <w:rPr>
          <w:bCs/>
          <w:sz w:val="24"/>
        </w:rPr>
        <w:t>（5）</w:t>
      </w:r>
      <w:r>
        <w:rPr>
          <w:bCs/>
          <w:sz w:val="24"/>
          <w:cs/>
          <w:lang w:val="mn-MN"/>
        </w:rPr>
        <w:t>Төлбөр төлөх хэлбэр</w:t>
      </w:r>
      <w:r>
        <w:rPr>
          <w:bCs/>
          <w:sz w:val="24"/>
        </w:rPr>
        <w:t>（15</w:t>
      </w:r>
      <w:r>
        <w:rPr>
          <w:bCs/>
          <w:sz w:val="24"/>
          <w:cs/>
          <w:lang w:val="mn-MN"/>
        </w:rPr>
        <w:t>оноо</w:t>
      </w:r>
      <w:r>
        <w:rPr>
          <w:bCs/>
          <w:sz w:val="24"/>
        </w:rPr>
        <w:t>）：</w:t>
      </w:r>
      <w:r>
        <w:rPr>
          <w:bCs/>
          <w:sz w:val="24"/>
          <w:cs/>
          <w:lang w:val="mn-MN"/>
        </w:rPr>
        <w:t>Тендэрийн бичиг баримтын шаардлагын дагуу төлбөрийн нөхцөлийг хангах, бодит байдлыг үндэслэн оноо өгөх.</w:t>
      </w:r>
    </w:p>
    <w:p>
      <w:pPr>
        <w:widowControl/>
        <w:spacing w:line="360" w:lineRule="auto"/>
        <w:ind w:left="480" w:firstLine="480" w:firstLineChars="200"/>
        <w:rPr>
          <w:bCs/>
          <w:sz w:val="24"/>
        </w:rPr>
      </w:pPr>
      <w:r>
        <w:rPr>
          <w:bCs/>
          <w:sz w:val="24"/>
        </w:rPr>
        <w:t>付款方式（15分）：满足文件要求的付款方式，根据实际情况酌情评分。</w:t>
      </w:r>
    </w:p>
    <w:p>
      <w:pPr>
        <w:widowControl/>
        <w:spacing w:line="360" w:lineRule="auto"/>
        <w:ind w:left="480" w:firstLine="480" w:firstLineChars="200"/>
        <w:rPr>
          <w:bCs/>
          <w:sz w:val="24"/>
          <w:lang w:val="mn-MN"/>
        </w:rPr>
      </w:pPr>
      <w:r>
        <w:rPr>
          <w:bCs/>
          <w:sz w:val="24"/>
        </w:rPr>
        <w:t>（6）</w:t>
      </w:r>
      <w:r>
        <w:rPr>
          <w:rFonts w:hint="eastAsia"/>
          <w:bCs/>
          <w:sz w:val="24"/>
          <w:cs/>
          <w:lang w:val="mn-MN"/>
        </w:rPr>
        <w:t xml:space="preserve"> </w:t>
      </w:r>
      <w:r>
        <w:rPr>
          <w:bCs/>
          <w:sz w:val="24"/>
          <w:lang w:val="mn-MN"/>
        </w:rPr>
        <w:t xml:space="preserve">Тээвэрлэлт хийх </w:t>
      </w:r>
      <w:r>
        <w:rPr>
          <w:bCs/>
          <w:sz w:val="24"/>
          <w:cs/>
          <w:lang w:val="mn-MN"/>
        </w:rPr>
        <w:t>хугацаа</w:t>
      </w:r>
      <w:r>
        <w:rPr>
          <w:bCs/>
          <w:sz w:val="24"/>
        </w:rPr>
        <w:t>（1</w:t>
      </w:r>
      <w:r>
        <w:rPr>
          <w:bCs/>
          <w:sz w:val="24"/>
          <w:cs/>
          <w:lang w:val="mn-MN"/>
        </w:rPr>
        <w:t>0 оноо</w:t>
      </w:r>
      <w:r>
        <w:rPr>
          <w:bCs/>
          <w:sz w:val="24"/>
        </w:rPr>
        <w:t>）</w:t>
      </w:r>
      <w:r>
        <w:rPr>
          <w:bCs/>
          <w:sz w:val="24"/>
          <w:cs/>
          <w:lang w:val="mn-MN"/>
        </w:rPr>
        <w:t>:  Тээвэрлэлт хийх зохион байгуулна. Тендэрийн бичиг баримтанд шаардсан хугацаанд тээвэрлэлт хийх төлөвлөгөөг үндэслэн оноо өгнө.</w:t>
      </w:r>
    </w:p>
    <w:p>
      <w:pPr>
        <w:widowControl/>
        <w:spacing w:line="360" w:lineRule="auto"/>
        <w:ind w:left="480" w:firstLine="480" w:firstLineChars="200"/>
        <w:rPr>
          <w:bCs/>
          <w:sz w:val="24"/>
        </w:rPr>
      </w:pPr>
      <w:r>
        <w:rPr>
          <w:rFonts w:hint="eastAsia"/>
          <w:bCs/>
          <w:sz w:val="24"/>
        </w:rPr>
        <w:t>运输期</w:t>
      </w:r>
      <w:r>
        <w:rPr>
          <w:bCs/>
          <w:sz w:val="24"/>
        </w:rPr>
        <w:t>（10分）：满足文件要求的期，根据实际运输组织时间酌情评分。</w:t>
      </w:r>
    </w:p>
    <w:p>
      <w:pPr>
        <w:widowControl/>
        <w:spacing w:line="360" w:lineRule="auto"/>
        <w:ind w:left="480" w:firstLine="480" w:firstLineChars="200"/>
        <w:rPr>
          <w:bCs/>
          <w:sz w:val="24"/>
          <w:lang w:val="mn-MN"/>
        </w:rPr>
      </w:pPr>
      <w:r>
        <w:rPr>
          <w:bCs/>
          <w:sz w:val="24"/>
        </w:rPr>
        <w:t>（7）</w:t>
      </w:r>
      <w:r>
        <w:rPr>
          <w:bCs/>
          <w:sz w:val="24"/>
          <w:cs/>
          <w:lang w:val="mn-MN"/>
        </w:rPr>
        <w:t xml:space="preserve">Ерөнхий  баталгаат чадвар </w:t>
      </w:r>
      <w:r>
        <w:rPr>
          <w:bCs/>
          <w:sz w:val="24"/>
        </w:rPr>
        <w:t>（1</w:t>
      </w:r>
      <w:r>
        <w:rPr>
          <w:bCs/>
          <w:sz w:val="24"/>
          <w:cs/>
          <w:lang w:val="mn-MN"/>
        </w:rPr>
        <w:t>0оноо</w:t>
      </w:r>
      <w:r>
        <w:rPr>
          <w:bCs/>
          <w:sz w:val="24"/>
        </w:rPr>
        <w:t>）</w:t>
      </w:r>
      <w:r>
        <w:rPr>
          <w:bCs/>
          <w:sz w:val="24"/>
          <w:cs/>
          <w:lang w:val="mn-MN"/>
        </w:rPr>
        <w:t>: Байгууллага нь тендэрийн бичиг баримтын шаардлагын дагуу тээвэрлэлтийн төлөвлөгөө  гаргах, дээрх байдалд үндэслэн  байгууллагын гаргасан тээвэрлэлтийн  баталгаа батлах ,тээвэрлэлтийн баталгаанд арга хэмжээ авах зэрэгт  уяалдуудан оноо өгнө.</w:t>
      </w:r>
    </w:p>
    <w:p>
      <w:pPr>
        <w:widowControl/>
        <w:spacing w:line="360" w:lineRule="auto"/>
        <w:ind w:left="480" w:firstLine="480" w:firstLineChars="200"/>
        <w:rPr>
          <w:bCs/>
          <w:sz w:val="24"/>
        </w:rPr>
      </w:pPr>
      <w:r>
        <w:rPr>
          <w:bCs/>
          <w:sz w:val="24"/>
        </w:rPr>
        <w:t>综合保障能力（10分）：企业应满足文件要求的运输方案，根据上述情况，结合企业提供的运输保障承诺，运输保障措施等综合情况酌情评分。</w:t>
      </w:r>
    </w:p>
    <w:p>
      <w:pPr>
        <w:widowControl/>
        <w:spacing w:line="360" w:lineRule="auto"/>
        <w:ind w:left="480" w:firstLine="480" w:firstLineChars="200"/>
        <w:rPr>
          <w:bCs/>
          <w:sz w:val="24"/>
          <w:lang w:val="mn-MN"/>
        </w:rPr>
      </w:pPr>
      <w:r>
        <w:rPr>
          <w:bCs/>
          <w:sz w:val="24"/>
        </w:rPr>
        <w:t>（8）</w:t>
      </w:r>
      <w:r>
        <w:rPr>
          <w:bCs/>
          <w:sz w:val="24"/>
          <w:cs/>
          <w:lang w:val="mn-MN"/>
        </w:rPr>
        <w:t>Хариу гаргасан байдал</w:t>
      </w:r>
      <w:r>
        <w:rPr>
          <w:bCs/>
          <w:sz w:val="24"/>
        </w:rPr>
        <w:t>（</w:t>
      </w:r>
      <w:r>
        <w:rPr>
          <w:bCs/>
          <w:sz w:val="24"/>
          <w:cs/>
          <w:lang w:val="mn-MN"/>
        </w:rPr>
        <w:t>5оноо</w:t>
      </w:r>
      <w:r>
        <w:rPr>
          <w:bCs/>
          <w:sz w:val="24"/>
        </w:rPr>
        <w:t>）</w:t>
      </w:r>
      <w:r>
        <w:rPr>
          <w:bCs/>
          <w:sz w:val="24"/>
          <w:cs/>
          <w:lang w:val="mn-MN"/>
        </w:rPr>
        <w:t xml:space="preserve">: байгууллагын ирүүлсэн бичиг баримт бүрэн эсэх, агуулга нь гүйцэд эсэх, тодорхой оновчтой, бизнесийн нөхцөл зэрэгт ерөнхий байдал оноо өгнө. </w:t>
      </w:r>
    </w:p>
    <w:p>
      <w:pPr>
        <w:widowControl/>
        <w:spacing w:line="360" w:lineRule="auto"/>
        <w:ind w:left="480" w:firstLine="480" w:firstLineChars="200"/>
        <w:rPr>
          <w:bCs/>
          <w:sz w:val="24"/>
        </w:rPr>
      </w:pPr>
      <w:r>
        <w:rPr>
          <w:bCs/>
          <w:sz w:val="24"/>
        </w:rPr>
        <w:t>响应程度（5分）：根据企业提供的响应文件是否齐全、内容是否完整、清晰、</w:t>
      </w:r>
    </w:p>
    <w:p>
      <w:pPr>
        <w:widowControl/>
        <w:spacing w:line="360" w:lineRule="auto"/>
        <w:ind w:firstLine="480" w:firstLineChars="200"/>
        <w:rPr>
          <w:bCs/>
          <w:sz w:val="24"/>
        </w:rPr>
      </w:pPr>
      <w:r>
        <w:rPr>
          <w:bCs/>
          <w:sz w:val="24"/>
        </w:rPr>
        <w:t>准确，商务条款是否偏离等综合情况酌情评分。</w:t>
      </w:r>
    </w:p>
    <w:p>
      <w:pPr>
        <w:widowControl/>
        <w:spacing w:line="360" w:lineRule="auto"/>
        <w:ind w:left="480" w:firstLine="24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Үнэлгээний авах оноо</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cs/>
          <w:lang w:val="mn-MN"/>
        </w:rPr>
        <w:t xml:space="preserve">үнийн саналын оноо </w:t>
      </w:r>
      <w:r>
        <w:rPr>
          <w:rFonts w:hint="default" w:ascii="Times New Roman" w:hAnsi="Times New Roman" w:cs="Times New Roman"/>
          <w:bCs/>
          <w:sz w:val="24"/>
          <w:szCs w:val="24"/>
        </w:rPr>
        <w:t>* 0.8+</w:t>
      </w:r>
      <w:r>
        <w:rPr>
          <w:rFonts w:hint="default" w:ascii="Times New Roman" w:hAnsi="Times New Roman" w:cs="Times New Roman"/>
          <w:bCs/>
          <w:sz w:val="24"/>
          <w:szCs w:val="24"/>
          <w:cs/>
          <w:lang w:val="mn-MN"/>
        </w:rPr>
        <w:t xml:space="preserve">нэгдсэн оноо </w:t>
      </w:r>
      <w:r>
        <w:rPr>
          <w:rFonts w:hint="default" w:ascii="Times New Roman" w:hAnsi="Times New Roman" w:cs="Times New Roman"/>
          <w:bCs/>
          <w:sz w:val="24"/>
          <w:szCs w:val="24"/>
        </w:rPr>
        <w:t>*0.2</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评审得分=报价得分*0.8+综合得分*0.2</w:t>
      </w:r>
    </w:p>
    <w:p>
      <w:pPr>
        <w:widowControl/>
        <w:spacing w:line="360" w:lineRule="auto"/>
        <w:ind w:left="480" w:firstLine="480" w:firstLineChars="200"/>
        <w:rPr>
          <w:bCs/>
          <w:sz w:val="24"/>
          <w:lang w:val="mn-MN"/>
        </w:rPr>
      </w:pPr>
      <w:r>
        <w:rPr>
          <w:bCs/>
          <w:sz w:val="24"/>
          <w:cs/>
          <w:lang w:val="mn-MN"/>
        </w:rPr>
        <w:t>Тендэрийн коммис ерөнхий үнэлгээ хийж, ерөнхий үнэлгээний аргыг үндэслэж гаргасан онооны дүнгээр эхний нэгдорсон тендэрт оролцогчийг шалгаруулна.</w:t>
      </w:r>
    </w:p>
    <w:p>
      <w:pPr>
        <w:widowControl/>
        <w:spacing w:line="360" w:lineRule="auto"/>
        <w:ind w:left="480" w:firstLine="480" w:firstLineChars="200"/>
        <w:rPr>
          <w:bCs/>
          <w:sz w:val="24"/>
        </w:rPr>
      </w:pPr>
      <w:r>
        <w:rPr>
          <w:bCs/>
          <w:sz w:val="24"/>
        </w:rPr>
        <w:t>评标小组进行综合评审，根据综合评估法的得分结果推荐排名</w:t>
      </w:r>
      <w:r>
        <w:rPr>
          <w:rFonts w:hint="eastAsia"/>
          <w:bCs/>
          <w:sz w:val="24"/>
        </w:rPr>
        <w:t>第一</w:t>
      </w:r>
      <w:r>
        <w:rPr>
          <w:bCs/>
          <w:sz w:val="24"/>
        </w:rPr>
        <w:t>的报价人为成交候选人</w:t>
      </w:r>
      <w:r>
        <w:rPr>
          <w:rFonts w:hint="eastAsia"/>
          <w:bCs/>
          <w:sz w:val="24"/>
        </w:rPr>
        <w:t>。</w:t>
      </w:r>
    </w:p>
    <w:p>
      <w:pPr>
        <w:pStyle w:val="4"/>
        <w:numPr>
          <w:ilvl w:val="0"/>
          <w:numId w:val="0"/>
        </w:numPr>
        <w:spacing w:line="360" w:lineRule="auto"/>
        <w:rPr>
          <w:rFonts w:ascii="Times New Roman" w:hAnsi="Times New Roman" w:eastAsia="宋体" w:cs="Times New Roman"/>
          <w:bCs/>
          <w:sz w:val="24"/>
          <w:szCs w:val="24"/>
        </w:rPr>
      </w:pPr>
      <w:bookmarkStart w:id="88" w:name="_Toc513214180"/>
      <w:bookmarkStart w:id="89" w:name="_Toc32272"/>
      <w:bookmarkStart w:id="90" w:name="_Toc183017266"/>
      <w:r>
        <w:rPr>
          <w:rFonts w:hint="eastAsia" w:ascii="Times New Roman" w:hAnsi="Times New Roman" w:eastAsia="宋体" w:cs="Times New Roman"/>
          <w:bCs/>
          <w:sz w:val="24"/>
          <w:szCs w:val="24"/>
          <w:cs w:val="0"/>
          <w:lang w:val="en-US" w:eastAsia="zh-CN"/>
        </w:rPr>
        <w:t>6.</w:t>
      </w:r>
      <w:r>
        <w:rPr>
          <w:rFonts w:ascii="Times New Roman" w:hAnsi="Times New Roman" w:eastAsia="宋体" w:cs="Times New Roman"/>
          <w:bCs/>
          <w:sz w:val="24"/>
          <w:szCs w:val="24"/>
          <w:cs/>
          <w:lang w:val="mn-MN"/>
        </w:rPr>
        <w:t>Тендэрийн бичиг баримтын тодруулга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投标文件的澄清</w:t>
      </w:r>
      <w:bookmarkEnd w:id="88"/>
      <w:bookmarkEnd w:id="89"/>
      <w:bookmarkEnd w:id="90"/>
    </w:p>
    <w:p>
      <w:pPr>
        <w:widowControl/>
        <w:spacing w:line="360" w:lineRule="auto"/>
        <w:ind w:left="480" w:firstLine="480" w:firstLineChars="200"/>
        <w:rPr>
          <w:bCs/>
          <w:sz w:val="24"/>
          <w:lang w:val="mn-MN"/>
        </w:rPr>
      </w:pPr>
      <w:r>
        <w:rPr>
          <w:bCs/>
          <w:sz w:val="24"/>
          <w:cs/>
          <w:lang w:val="mn-MN"/>
        </w:rPr>
        <w:t xml:space="preserve">Тендэрийн үнэлгээний комисс нь тендэрт оролцогчоос тодруулга тайлбар авч болно.Тодруулгын шаардлага болон хариу бичгээр байх бөгөөд тендэрт оролцогчийн итгэмжилсэн төлөөлөгийн гарын үсэгтэй байна. Тендэрт оролцогчийн тодруулга хэсэг нь тендэрийн бүрэлдэхүүн хэсэг болох бөгөөд тендэрийн бичиг баримтын тодруулга  хэсэг болно. Тендэрийн бичиг баримтын тодруулга нь тендэрийн бичиг баримтын бодит агуулгыг өөрчилж болохгүй. </w:t>
      </w:r>
      <w:r>
        <w:rPr>
          <w:rFonts w:hint="eastAsia"/>
          <w:bCs/>
          <w:sz w:val="24"/>
          <w:cs/>
          <w:lang w:val="mn-MN"/>
        </w:rPr>
        <w:t>Тодруулга бичиг баримтыг нэг цагийн дотор дуусгах шаардлагатай.</w:t>
      </w:r>
    </w:p>
    <w:p>
      <w:pPr>
        <w:widowControl/>
        <w:spacing w:line="360" w:lineRule="auto"/>
        <w:ind w:left="480" w:firstLine="480" w:firstLineChars="200"/>
        <w:rPr>
          <w:bCs/>
          <w:sz w:val="24"/>
        </w:rPr>
      </w:pPr>
      <w:r>
        <w:rPr>
          <w:bCs/>
          <w:sz w:val="24"/>
        </w:rPr>
        <w:t>评标委员会可以请投标人澄清及说明其投标，澄清的要求与答复均应是书面的，并应有投标人全权代表的签署。投标人的澄清文件是投标文件的组成部分，并替代投标文件中被澄清的部分。投标文件的澄清不得改变投标文件的实质内容</w:t>
      </w:r>
      <w:r>
        <w:rPr>
          <w:rFonts w:hint="eastAsia"/>
          <w:bCs/>
          <w:sz w:val="24"/>
          <w:lang w:eastAsia="zh-CN"/>
        </w:rPr>
        <w:t>，</w:t>
      </w:r>
      <w:r>
        <w:rPr>
          <w:bCs/>
          <w:sz w:val="24"/>
        </w:rPr>
        <w:t>澄清文件</w:t>
      </w:r>
      <w:r>
        <w:rPr>
          <w:rFonts w:hint="eastAsia"/>
          <w:bCs/>
          <w:sz w:val="24"/>
          <w:lang w:val="en-US" w:eastAsia="zh-CN"/>
        </w:rPr>
        <w:t>需1小时内完成。</w:t>
      </w:r>
    </w:p>
    <w:p>
      <w:pPr>
        <w:pStyle w:val="4"/>
        <w:numPr>
          <w:ilvl w:val="0"/>
          <w:numId w:val="0"/>
        </w:numPr>
        <w:spacing w:line="360" w:lineRule="auto"/>
        <w:rPr>
          <w:rFonts w:ascii="Times New Roman" w:hAnsi="Times New Roman" w:eastAsia="宋体" w:cs="Times New Roman"/>
          <w:bCs/>
          <w:sz w:val="24"/>
          <w:szCs w:val="24"/>
        </w:rPr>
      </w:pPr>
      <w:bookmarkStart w:id="91" w:name="_Toc513214181"/>
      <w:bookmarkStart w:id="92" w:name="_Toc183017267"/>
      <w:bookmarkStart w:id="93" w:name="_Toc16793"/>
      <w:r>
        <w:rPr>
          <w:rFonts w:hint="eastAsia" w:ascii="Times New Roman" w:hAnsi="Times New Roman" w:eastAsia="宋体" w:cs="Times New Roman"/>
          <w:bCs/>
          <w:sz w:val="24"/>
          <w:szCs w:val="24"/>
          <w:cs w:val="0"/>
          <w:lang w:val="en-US" w:eastAsia="zh-CN"/>
        </w:rPr>
        <w:t>7.</w:t>
      </w:r>
      <w:r>
        <w:rPr>
          <w:rFonts w:ascii="Times New Roman" w:hAnsi="Times New Roman" w:eastAsia="宋体" w:cs="Times New Roman"/>
          <w:bCs/>
          <w:sz w:val="24"/>
          <w:szCs w:val="24"/>
          <w:cs/>
          <w:lang w:val="mn-MN"/>
        </w:rPr>
        <w:t>Нууцлал</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保密</w:t>
      </w:r>
      <w:bookmarkEnd w:id="91"/>
      <w:bookmarkEnd w:id="92"/>
      <w:bookmarkEnd w:id="93"/>
    </w:p>
    <w:p>
      <w:pPr>
        <w:widowControl/>
        <w:spacing w:line="360" w:lineRule="auto"/>
        <w:ind w:left="480" w:firstLine="480" w:firstLineChars="200"/>
        <w:rPr>
          <w:bCs/>
          <w:sz w:val="24"/>
          <w:lang w:val="mn-MN"/>
        </w:rPr>
      </w:pPr>
      <w:r>
        <w:rPr>
          <w:bCs/>
          <w:sz w:val="24"/>
        </w:rPr>
        <w:t>（1）</w:t>
      </w:r>
      <w:r>
        <w:rPr>
          <w:bCs/>
          <w:sz w:val="24"/>
          <w:cs/>
          <w:lang w:val="mn-MN"/>
        </w:rPr>
        <w:t xml:space="preserve">Тендэр нээсний дараа үнэлгээний комиссын гишүүд болон ажилтанууд тендэрийн бичгийн хяналт, тодруулга, үнэлгээ, харьцуулалт болон гэрээтэй холбоотой аливаа мэдээлэлийг тендэрт оролцогчид болон дээрх үнэлгээний  ажилтай хамааралгүй хүмүүст задруулахгүй  байх </w:t>
      </w:r>
    </w:p>
    <w:p>
      <w:pPr>
        <w:widowControl/>
        <w:spacing w:line="360" w:lineRule="auto"/>
        <w:ind w:left="480" w:firstLine="480" w:firstLineChars="200"/>
        <w:rPr>
          <w:bCs/>
          <w:sz w:val="24"/>
        </w:rPr>
      </w:pPr>
      <w:r>
        <w:rPr>
          <w:bCs/>
          <w:sz w:val="24"/>
        </w:rPr>
        <w:t>开标后，评标委员会成员及工作人员不得将有关投标文件的审查、澄清、评估和比较以及有关授予合同的意向等一切情况透露给投标人或与上述评标工作无关的人员。</w:t>
      </w:r>
    </w:p>
    <w:p>
      <w:pPr>
        <w:widowControl/>
        <w:spacing w:line="360" w:lineRule="auto"/>
        <w:ind w:left="480" w:firstLine="480" w:firstLineChars="200"/>
        <w:rPr>
          <w:bCs/>
          <w:sz w:val="24"/>
          <w:lang w:val="mn-MN"/>
        </w:rPr>
      </w:pPr>
      <w:r>
        <w:rPr>
          <w:bCs/>
          <w:sz w:val="24"/>
        </w:rPr>
        <w:t>（2）</w:t>
      </w:r>
      <w:r>
        <w:rPr>
          <w:bCs/>
          <w:sz w:val="24"/>
          <w:cs/>
          <w:lang w:val="mn-MN"/>
        </w:rPr>
        <w:t>Тендэрийн үнэлгээний хугацаанд тендэрт оролцогч нь тендэр зарлагчид нөлөөлөх ямар нэгэн оролдлого хийвэл тухайн тендэрийг хүлээн авахаас татгалзаж холбогдох хуулийн хариуцлага хүлээлгэнэ.</w:t>
      </w:r>
    </w:p>
    <w:p>
      <w:pPr>
        <w:widowControl/>
        <w:spacing w:line="360" w:lineRule="auto"/>
        <w:ind w:left="480" w:firstLine="480" w:firstLineChars="200"/>
        <w:rPr>
          <w:bCs/>
          <w:sz w:val="24"/>
        </w:rPr>
      </w:pPr>
      <w:r>
        <w:rPr>
          <w:bCs/>
          <w:sz w:val="24"/>
        </w:rPr>
        <w:t>在评标期间投标人企图影响招标人的任何活动，将导致其投标被拒绝，并承担相应的法律责任。</w:t>
      </w:r>
    </w:p>
    <w:p>
      <w:pPr>
        <w:pStyle w:val="4"/>
        <w:numPr>
          <w:ilvl w:val="0"/>
          <w:numId w:val="0"/>
        </w:numPr>
        <w:spacing w:line="360" w:lineRule="auto"/>
        <w:rPr>
          <w:rFonts w:ascii="Times New Roman" w:hAnsi="Times New Roman" w:eastAsia="宋体" w:cs="Times New Roman"/>
          <w:bCs/>
          <w:sz w:val="24"/>
          <w:szCs w:val="24"/>
        </w:rPr>
      </w:pPr>
      <w:bookmarkStart w:id="94" w:name="_Toc183017268"/>
      <w:bookmarkStart w:id="95" w:name="_Toc5362"/>
      <w:bookmarkStart w:id="96" w:name="_Toc513214182"/>
      <w:r>
        <w:rPr>
          <w:rFonts w:hint="eastAsia" w:ascii="Times New Roman" w:hAnsi="Times New Roman" w:cs="Times New Roman" w:eastAsiaTheme="majorEastAsia"/>
          <w:bCs/>
          <w:sz w:val="24"/>
          <w:szCs w:val="24"/>
          <w:cs w:val="0"/>
          <w:lang w:val="en-US" w:eastAsia="zh-CN"/>
        </w:rPr>
        <w:t>8.</w:t>
      </w:r>
      <w:r>
        <w:rPr>
          <w:rFonts w:ascii="Times New Roman" w:hAnsi="Times New Roman" w:cs="Times New Roman" w:eastAsiaTheme="majorEastAsia"/>
          <w:bCs/>
          <w:sz w:val="24"/>
          <w:szCs w:val="24"/>
          <w:cs/>
          <w:lang w:val="mn-MN"/>
        </w:rPr>
        <w:t xml:space="preserve">Чадамжийг шалгах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资格审查</w:t>
      </w:r>
      <w:bookmarkEnd w:id="94"/>
      <w:bookmarkEnd w:id="95"/>
      <w:bookmarkEnd w:id="96"/>
    </w:p>
    <w:p>
      <w:pPr>
        <w:widowControl/>
        <w:spacing w:line="360" w:lineRule="auto"/>
        <w:ind w:left="480" w:firstLine="480" w:firstLineChars="200"/>
        <w:rPr>
          <w:bCs/>
          <w:sz w:val="24"/>
          <w:lang w:val="mn-MN"/>
        </w:rPr>
      </w:pPr>
      <w:r>
        <w:rPr>
          <w:bCs/>
          <w:sz w:val="24"/>
        </w:rPr>
        <w:t>（1）</w:t>
      </w:r>
      <w:r>
        <w:rPr>
          <w:bCs/>
          <w:sz w:val="24"/>
          <w:cs/>
          <w:lang w:val="mn-MN"/>
        </w:rPr>
        <w:t xml:space="preserve">Тендэрийн комисс нь тендэрт оролцогчийн чадамжийг шалгана. </w:t>
      </w:r>
    </w:p>
    <w:p>
      <w:pPr>
        <w:widowControl/>
        <w:spacing w:line="360" w:lineRule="auto"/>
        <w:ind w:left="480" w:firstLine="480" w:firstLineChars="200"/>
        <w:rPr>
          <w:bCs/>
          <w:sz w:val="24"/>
        </w:rPr>
      </w:pPr>
      <w:r>
        <w:rPr>
          <w:bCs/>
          <w:sz w:val="24"/>
        </w:rPr>
        <w:t>评标委员会对投标人资格进行审查。</w:t>
      </w:r>
    </w:p>
    <w:p>
      <w:pPr>
        <w:widowControl/>
        <w:spacing w:line="360" w:lineRule="auto"/>
        <w:ind w:left="480" w:firstLine="480" w:firstLineChars="200"/>
        <w:rPr>
          <w:bCs/>
          <w:sz w:val="24"/>
          <w:lang w:val="mn-MN"/>
        </w:rPr>
      </w:pPr>
      <w:r>
        <w:rPr>
          <w:bCs/>
          <w:sz w:val="24"/>
        </w:rPr>
        <w:t>（2）</w:t>
      </w:r>
      <w:r>
        <w:rPr>
          <w:bCs/>
          <w:sz w:val="24"/>
          <w:cs/>
          <w:lang w:val="mn-MN"/>
        </w:rPr>
        <w:t xml:space="preserve">Тендэрт оролцогчийн санхүү, техникийн хүчин чадалыг харгалзан тендэрт оролцогчийн ирүүлсэн чадамжийн гэрчилгээ бичиг баримт болон тендэрийн комиссын шаардлага гэж үзсэн бусад бичиг баримтыг үндэслэнэ. </w:t>
      </w:r>
    </w:p>
    <w:p>
      <w:pPr>
        <w:widowControl/>
        <w:spacing w:line="360" w:lineRule="auto"/>
        <w:ind w:left="480" w:firstLine="480" w:firstLineChars="200"/>
        <w:rPr>
          <w:bCs/>
          <w:sz w:val="24"/>
        </w:rPr>
      </w:pPr>
      <w:r>
        <w:rPr>
          <w:bCs/>
          <w:sz w:val="24"/>
        </w:rPr>
        <w:t>审查将考虑投标人的财务、技术和生产能力，并基于投标人提供的资格证明文件，以及评标委员会认为必要的和合适的其他文件资料。</w:t>
      </w:r>
    </w:p>
    <w:p>
      <w:pPr>
        <w:pStyle w:val="4"/>
        <w:numPr>
          <w:ilvl w:val="0"/>
          <w:numId w:val="0"/>
        </w:numPr>
        <w:spacing w:line="360" w:lineRule="auto"/>
        <w:rPr>
          <w:rFonts w:ascii="Times New Roman" w:hAnsi="Times New Roman" w:eastAsia="宋体" w:cs="Times New Roman"/>
          <w:bCs/>
          <w:sz w:val="24"/>
          <w:szCs w:val="24"/>
        </w:rPr>
      </w:pPr>
      <w:bookmarkStart w:id="97" w:name="_Toc513214183"/>
      <w:bookmarkStart w:id="98" w:name="_Toc13053"/>
      <w:bookmarkStart w:id="99" w:name="_Toc183017269"/>
      <w:r>
        <w:rPr>
          <w:rFonts w:hint="eastAsia" w:ascii="Times New Roman" w:hAnsi="Times New Roman" w:cs="Times New Roman" w:eastAsiaTheme="minorEastAsia"/>
          <w:bCs/>
          <w:sz w:val="24"/>
          <w:szCs w:val="24"/>
          <w:cs w:val="0"/>
          <w:lang w:val="en-US" w:eastAsia="zh-CN"/>
        </w:rPr>
        <w:t>9.</w:t>
      </w:r>
      <w:r>
        <w:rPr>
          <w:rFonts w:ascii="Times New Roman" w:hAnsi="Times New Roman" w:cs="Times New Roman" w:eastAsiaTheme="minorEastAsia"/>
          <w:bCs/>
          <w:sz w:val="24"/>
          <w:szCs w:val="24"/>
          <w:cs/>
          <w:lang w:val="mn-MN"/>
        </w:rPr>
        <w:t>Гэрээ байгуулах эрх олгох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授予合同</w:t>
      </w:r>
      <w:bookmarkEnd w:id="97"/>
      <w:bookmarkEnd w:id="98"/>
      <w:bookmarkEnd w:id="99"/>
    </w:p>
    <w:p>
      <w:pPr>
        <w:widowControl/>
        <w:spacing w:line="360" w:lineRule="auto"/>
        <w:ind w:left="480" w:firstLine="480" w:firstLineChars="200"/>
        <w:rPr>
          <w:bCs/>
          <w:sz w:val="24"/>
          <w:lang w:val="mn-MN"/>
        </w:rPr>
      </w:pPr>
      <w:r>
        <w:rPr>
          <w:bCs/>
          <w:sz w:val="24"/>
        </w:rPr>
        <w:t>（1）</w:t>
      </w:r>
      <w:r>
        <w:rPr>
          <w:bCs/>
          <w:sz w:val="24"/>
          <w:cs/>
          <w:lang w:val="mn-MN"/>
        </w:rPr>
        <w:t xml:space="preserve">Гэрээ байгуулах эрх олгох зарчим: Гэрээ нь тендэрийн бичиг баримтын нөхцөлд нийцсэн, тендэр зарлагчид хамгийн ашигтай санал өгсөн тендэрт оролцогчид олгогдоно. Хамгийн бага үнийн саналтай тендэрт оролцогч биш юм. </w:t>
      </w:r>
    </w:p>
    <w:p>
      <w:pPr>
        <w:widowControl/>
        <w:spacing w:line="360" w:lineRule="auto"/>
        <w:ind w:left="480" w:firstLine="480" w:firstLineChars="200"/>
        <w:rPr>
          <w:bCs/>
          <w:sz w:val="24"/>
        </w:rPr>
      </w:pPr>
      <w:r>
        <w:rPr>
          <w:bCs/>
          <w:sz w:val="24"/>
        </w:rPr>
        <w:t>授予合同的准则：合同将授予符合招标文件条件并对招标人最为有利的投标人，而并非最低报价的投标人。</w:t>
      </w:r>
    </w:p>
    <w:p>
      <w:pPr>
        <w:widowControl/>
        <w:spacing w:line="360" w:lineRule="auto"/>
        <w:ind w:left="480" w:firstLine="480" w:firstLineChars="200"/>
        <w:rPr>
          <w:bCs/>
          <w:sz w:val="24"/>
          <w:lang w:val="mn-MN"/>
        </w:rPr>
      </w:pPr>
      <w:r>
        <w:rPr>
          <w:bCs/>
          <w:sz w:val="24"/>
        </w:rPr>
        <w:t>（</w:t>
      </w:r>
      <w:r>
        <w:rPr>
          <w:bCs/>
          <w:sz w:val="24"/>
          <w:lang w:val="mn-MN"/>
        </w:rPr>
        <w:t>2</w:t>
      </w:r>
      <w:r>
        <w:rPr>
          <w:bCs/>
          <w:sz w:val="24"/>
        </w:rPr>
        <w:t>）</w:t>
      </w:r>
      <w:r>
        <w:rPr>
          <w:bCs/>
          <w:sz w:val="24"/>
          <w:cs/>
          <w:lang w:val="mn-MN"/>
        </w:rPr>
        <w:t xml:space="preserve">Гэрээний нөхцөл болон загварийг Хавсралт 2-с үзнэ үү. </w:t>
      </w:r>
    </w:p>
    <w:p>
      <w:pPr>
        <w:widowControl/>
        <w:spacing w:line="360" w:lineRule="auto"/>
        <w:ind w:left="480" w:firstLine="480" w:firstLineChars="200"/>
        <w:rPr>
          <w:bCs/>
          <w:sz w:val="24"/>
        </w:rPr>
      </w:pPr>
      <w:r>
        <w:rPr>
          <w:bCs/>
          <w:sz w:val="24"/>
        </w:rPr>
        <w:t>合同条款及格式详见附件2。</w:t>
      </w:r>
    </w:p>
    <w:p>
      <w:pPr>
        <w:pStyle w:val="4"/>
        <w:numPr>
          <w:ilvl w:val="0"/>
          <w:numId w:val="0"/>
        </w:numPr>
        <w:spacing w:line="360" w:lineRule="auto"/>
        <w:rPr>
          <w:rFonts w:ascii="Times New Roman" w:hAnsi="Times New Roman" w:eastAsia="宋体" w:cs="Times New Roman"/>
          <w:bCs/>
          <w:sz w:val="24"/>
          <w:szCs w:val="24"/>
        </w:rPr>
      </w:pPr>
      <w:bookmarkStart w:id="100" w:name="_Toc31437"/>
      <w:bookmarkStart w:id="101" w:name="_Toc183017270"/>
      <w:bookmarkStart w:id="102" w:name="_Toc513214184"/>
      <w:r>
        <w:rPr>
          <w:rFonts w:hint="eastAsia" w:ascii="Times New Roman" w:hAnsi="Times New Roman" w:eastAsia="宋体" w:cs="Times New Roman"/>
          <w:bCs/>
          <w:sz w:val="24"/>
          <w:szCs w:val="24"/>
          <w:cs w:val="0"/>
          <w:lang w:val="en-US" w:eastAsia="zh-CN"/>
        </w:rPr>
        <w:t>10.</w:t>
      </w:r>
      <w:r>
        <w:rPr>
          <w:rFonts w:ascii="Times New Roman" w:hAnsi="Times New Roman" w:eastAsia="宋体" w:cs="Times New Roman"/>
          <w:bCs/>
          <w:sz w:val="24"/>
          <w:szCs w:val="24"/>
          <w:cs/>
          <w:lang w:val="mn-MN"/>
        </w:rPr>
        <w:t xml:space="preserve">Тендэр зарлагч нь аливаа тендэр эсвэл бүх тендэрийг хүлээн авах эсвэл татгалзах эрхтэй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招标人有接受或拒绝任何投标或所有投标的权利</w:t>
      </w:r>
      <w:bookmarkEnd w:id="100"/>
      <w:bookmarkEnd w:id="101"/>
      <w:bookmarkEnd w:id="102"/>
    </w:p>
    <w:p>
      <w:pPr>
        <w:widowControl/>
        <w:spacing w:line="360" w:lineRule="auto"/>
        <w:ind w:left="480" w:firstLine="480" w:firstLineChars="200"/>
        <w:rPr>
          <w:bCs/>
          <w:sz w:val="24"/>
        </w:rPr>
      </w:pPr>
      <w:r>
        <w:rPr>
          <w:bCs/>
          <w:sz w:val="24"/>
        </w:rPr>
        <w:t>招标人有权在授予合同前保留接受或拒绝投标文件的权利，由此给投标人造成的影响不负任何责任，对此不作任何解释。</w:t>
      </w:r>
    </w:p>
    <w:p>
      <w:pPr>
        <w:pStyle w:val="4"/>
        <w:numPr>
          <w:ilvl w:val="0"/>
          <w:numId w:val="0"/>
        </w:numPr>
        <w:spacing w:line="360" w:lineRule="auto"/>
        <w:rPr>
          <w:rFonts w:ascii="Times New Roman" w:hAnsi="Times New Roman" w:eastAsia="宋体" w:cs="Times New Roman"/>
          <w:bCs/>
          <w:sz w:val="24"/>
          <w:szCs w:val="24"/>
        </w:rPr>
      </w:pPr>
      <w:bookmarkStart w:id="103" w:name="_Toc183017271"/>
      <w:bookmarkStart w:id="104" w:name="_Toc513214185"/>
      <w:bookmarkStart w:id="105" w:name="_Toc16120"/>
      <w:r>
        <w:rPr>
          <w:rFonts w:hint="eastAsia" w:ascii="Times New Roman" w:hAnsi="Times New Roman" w:eastAsia="宋体" w:cs="Times New Roman"/>
          <w:bCs/>
          <w:sz w:val="24"/>
          <w:szCs w:val="24"/>
          <w:cs w:val="0"/>
          <w:lang w:val="en-US" w:eastAsia="zh-CN"/>
        </w:rPr>
        <w:t>11.</w:t>
      </w:r>
      <w:r>
        <w:rPr>
          <w:rFonts w:ascii="Times New Roman" w:hAnsi="Times New Roman" w:eastAsia="宋体" w:cs="Times New Roman"/>
          <w:bCs/>
          <w:sz w:val="24"/>
          <w:szCs w:val="24"/>
          <w:cs/>
          <w:lang w:val="mn-MN"/>
        </w:rPr>
        <w:t xml:space="preserve">Тендэрт ялсан мэдэгдэл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中标通知书</w:t>
      </w:r>
      <w:bookmarkEnd w:id="103"/>
      <w:bookmarkEnd w:id="104"/>
      <w:bookmarkEnd w:id="105"/>
    </w:p>
    <w:p>
      <w:pPr>
        <w:widowControl/>
        <w:spacing w:line="360" w:lineRule="auto"/>
        <w:ind w:left="480" w:firstLine="480" w:firstLineChars="200"/>
        <w:rPr>
          <w:bCs/>
          <w:sz w:val="24"/>
          <w:lang w:val="mn-MN"/>
        </w:rPr>
      </w:pPr>
      <w:r>
        <w:rPr>
          <w:rFonts w:hint="eastAsia"/>
          <w:bCs/>
          <w:sz w:val="24"/>
          <w:cs/>
          <w:lang w:val="mn-MN"/>
        </w:rPr>
        <w:t>Энэхүү тендерийн худалдан авалтын үнэлгээний дүнг албан ёсны вэбсайтад зарлан нийтэлж, өргөдлийн баримт бичгийн хүчинтэй хугацаа дуусахаас өмнө тендерийн зарлагч шалгарсан танд тендер амжилттай болсноор мэдээлэх бичиг илгээнэ.</w:t>
      </w:r>
      <w:r>
        <w:rPr>
          <w:rFonts w:hint="eastAsia"/>
          <w:bCs/>
          <w:sz w:val="24"/>
          <w:cs w:val="0"/>
          <w:lang w:val="en-US" w:eastAsia="zh-CN"/>
        </w:rPr>
        <w:t xml:space="preserve">   </w:t>
      </w:r>
      <w:r>
        <w:rPr>
          <w:bCs/>
          <w:sz w:val="24"/>
          <w:lang w:val="mn-MN"/>
        </w:rPr>
        <w:t>本次招标采购评标结果在</w:t>
      </w:r>
      <w:r>
        <w:rPr>
          <w:rFonts w:hint="eastAsia"/>
          <w:bCs/>
          <w:sz w:val="24"/>
        </w:rPr>
        <w:t>公众号</w:t>
      </w:r>
      <w:r>
        <w:rPr>
          <w:bCs/>
          <w:sz w:val="24"/>
          <w:lang w:val="mn-MN"/>
        </w:rPr>
        <w:t>网站公示，在投标文件有效期满前，招标人向中标人发出中标通知书。</w:t>
      </w:r>
    </w:p>
    <w:p>
      <w:pPr>
        <w:pStyle w:val="4"/>
        <w:numPr>
          <w:ilvl w:val="0"/>
          <w:numId w:val="0"/>
        </w:numPr>
        <w:spacing w:line="360" w:lineRule="auto"/>
        <w:rPr>
          <w:rFonts w:ascii="Times New Roman" w:hAnsi="Times New Roman" w:eastAsia="宋体" w:cs="Times New Roman"/>
          <w:bCs/>
          <w:sz w:val="24"/>
          <w:szCs w:val="24"/>
          <w:lang w:val="mn-MN"/>
        </w:rPr>
      </w:pPr>
      <w:bookmarkStart w:id="106" w:name="_Toc23381"/>
      <w:bookmarkStart w:id="107" w:name="_Toc183017272"/>
      <w:r>
        <w:rPr>
          <w:rFonts w:hint="eastAsia" w:ascii="Times New Roman" w:hAnsi="Times New Roman" w:cs="Times New Roman" w:eastAsiaTheme="minorEastAsia"/>
          <w:bCs/>
          <w:sz w:val="24"/>
          <w:szCs w:val="24"/>
          <w:cs w:val="0"/>
          <w:lang w:val="en-US" w:eastAsia="zh-CN"/>
        </w:rPr>
        <w:t>12.</w:t>
      </w:r>
      <w:r>
        <w:rPr>
          <w:rFonts w:ascii="Times New Roman" w:hAnsi="Times New Roman" w:cs="Times New Roman" w:eastAsiaTheme="minorEastAsia"/>
          <w:bCs/>
          <w:sz w:val="24"/>
          <w:szCs w:val="24"/>
          <w:cs/>
          <w:lang w:val="mn-MN"/>
        </w:rPr>
        <w:t>Гэрээ байгуулах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签订合同</w:t>
      </w:r>
      <w:bookmarkEnd w:id="106"/>
      <w:bookmarkEnd w:id="107"/>
    </w:p>
    <w:p>
      <w:pPr>
        <w:widowControl/>
        <w:spacing w:line="360" w:lineRule="auto"/>
        <w:ind w:left="480" w:firstLine="480" w:firstLineChars="200"/>
        <w:rPr>
          <w:bCs/>
          <w:sz w:val="24"/>
          <w:lang w:val="mn-MN"/>
        </w:rPr>
      </w:pPr>
      <w:r>
        <w:rPr>
          <w:bCs/>
          <w:sz w:val="24"/>
        </w:rPr>
        <w:t>（1）</w:t>
      </w:r>
      <w:r>
        <w:rPr>
          <w:bCs/>
          <w:sz w:val="24"/>
          <w:cs/>
          <w:lang w:val="mn-MN"/>
        </w:rPr>
        <w:t xml:space="preserve">Тендэрт ялагч нь тендэрийн ялагчийн мэдэгдэл заасан хугацаа, газарт тендэр зарлагчтай гэрээ байгуулна. </w:t>
      </w:r>
    </w:p>
    <w:p>
      <w:pPr>
        <w:widowControl/>
        <w:spacing w:line="360" w:lineRule="auto"/>
        <w:ind w:left="480" w:firstLine="480" w:firstLineChars="200"/>
        <w:rPr>
          <w:bCs/>
          <w:sz w:val="24"/>
        </w:rPr>
      </w:pPr>
      <w:r>
        <w:rPr>
          <w:bCs/>
          <w:sz w:val="24"/>
        </w:rPr>
        <w:t>中标人应按中标通知书指定的时间、地点与招标人签订合同。</w:t>
      </w:r>
    </w:p>
    <w:p>
      <w:pPr>
        <w:widowControl/>
        <w:numPr>
          <w:ilvl w:val="0"/>
          <w:numId w:val="20"/>
        </w:numPr>
        <w:spacing w:line="360" w:lineRule="auto"/>
        <w:ind w:left="480" w:firstLine="480" w:firstLineChars="200"/>
        <w:rPr>
          <w:bCs/>
          <w:sz w:val="24"/>
          <w:cs/>
          <w:lang w:val="mn-MN"/>
        </w:rPr>
      </w:pPr>
      <w:r>
        <w:rPr>
          <w:bCs/>
          <w:sz w:val="24"/>
          <w:cs/>
          <w:lang w:val="mn-MN"/>
        </w:rPr>
        <w:t xml:space="preserve">Тендэр зарласан бичиг баримт, тендэрт оролцсон бичиг баримт болон үнэлгээний явцад бичгээр үйлсэн бичгүүд гэрээ байгуулах үндэслэл болно. </w:t>
      </w:r>
    </w:p>
    <w:p>
      <w:pPr>
        <w:widowControl/>
        <w:spacing w:line="360" w:lineRule="auto"/>
        <w:ind w:left="480" w:firstLine="964"/>
        <w:rPr>
          <w:bCs/>
          <w:sz w:val="24"/>
        </w:rPr>
      </w:pPr>
      <w:r>
        <w:rPr>
          <w:bCs/>
          <w:sz w:val="24"/>
        </w:rPr>
        <w:t>招标文件、投标文件及评标过程中形成的书面文件均作为签订合同的依据。</w:t>
      </w:r>
    </w:p>
    <w:p>
      <w:pPr>
        <w:widowControl/>
        <w:spacing w:line="360" w:lineRule="auto"/>
        <w:ind w:left="480" w:firstLine="480" w:firstLineChars="200"/>
        <w:rPr>
          <w:bCs/>
          <w:sz w:val="24"/>
          <w:lang w:val="mn-MN"/>
        </w:rPr>
      </w:pPr>
      <w:r>
        <w:rPr>
          <w:bCs/>
          <w:sz w:val="24"/>
        </w:rPr>
        <w:t>（3）</w:t>
      </w:r>
      <w:r>
        <w:rPr>
          <w:bCs/>
          <w:sz w:val="24"/>
          <w:cs/>
          <w:lang w:val="mn-MN"/>
        </w:rPr>
        <w:t xml:space="preserve">Тендэрт ялагч нь сонгон шалгаруулалтаас татгалзах, гэрээ байгуулахаас татгалзах, гэрээ зөрчих эсвэл сонгон шалгаруулах дүнд нөлөөлсөн хууль бус үйлдэл нь илэрсэн сонгон шалгаруулалтын шаардлага хангахгүй, тендэр зарлагч нь үнэлгээний коммисийн шалгаруулсан нэрсийн жагсаалтын дагуу дараагийн шалгарсан оролцогчийг сонгох эрхтэй. </w:t>
      </w:r>
    </w:p>
    <w:p>
      <w:pPr>
        <w:widowControl/>
        <w:spacing w:line="360" w:lineRule="auto"/>
        <w:ind w:left="480" w:firstLine="480" w:firstLineChars="200"/>
        <w:rPr>
          <w:b/>
          <w:sz w:val="24"/>
        </w:rPr>
      </w:pPr>
      <w:r>
        <w:rPr>
          <w:bCs/>
          <w:sz w:val="24"/>
        </w:rPr>
        <w:t>中标人若放弃中选、拒签合同、违约，或者被查实存在影响中选结果的违法行为等情形，不符合中选条件的，招标人可以按评标委员会提出的中标候选人名单排序依次确定其他中标候选人为中标人。</w:t>
      </w:r>
      <w:r>
        <w:rPr>
          <w:b/>
          <w:sz w:val="24"/>
        </w:rPr>
        <w:br w:type="page"/>
      </w:r>
      <w:bookmarkEnd w:id="35"/>
      <w:bookmarkStart w:id="108" w:name="_Toc22675"/>
      <w:bookmarkStart w:id="109" w:name="_Toc461108858"/>
      <w:bookmarkStart w:id="110" w:name="_Toc183017273"/>
    </w:p>
    <w:p>
      <w:pPr>
        <w:widowControl/>
        <w:spacing w:line="360" w:lineRule="auto"/>
        <w:ind w:left="480" w:firstLine="482" w:firstLineChars="200"/>
        <w:rPr>
          <w:b/>
          <w:sz w:val="24"/>
        </w:rPr>
      </w:pPr>
    </w:p>
    <w:bookmarkEnd w:id="108"/>
    <w:bookmarkEnd w:id="109"/>
    <w:bookmarkEnd w:id="110"/>
    <w:p>
      <w:pPr>
        <w:pStyle w:val="3"/>
        <w:spacing w:line="360" w:lineRule="auto"/>
        <w:jc w:val="center"/>
        <w:rPr>
          <w:rFonts w:ascii="Times New Roman" w:eastAsia="宋体"/>
          <w:b/>
          <w:sz w:val="32"/>
          <w:szCs w:val="32"/>
          <w:lang w:val="mn-MN"/>
        </w:rPr>
      </w:pPr>
      <w:r>
        <w:rPr>
          <w:rFonts w:ascii="Times New Roman" w:eastAsia="宋体"/>
          <w:b/>
          <w:sz w:val="32"/>
          <w:szCs w:val="32"/>
          <w:cs/>
          <w:lang w:val="mn-MN"/>
        </w:rPr>
        <w:t>Зургаа. Хавсралт</w:t>
      </w:r>
    </w:p>
    <w:p>
      <w:pPr>
        <w:pStyle w:val="3"/>
        <w:numPr>
          <w:ilvl w:val="0"/>
          <w:numId w:val="0"/>
        </w:numPr>
        <w:spacing w:line="360" w:lineRule="auto"/>
        <w:jc w:val="center"/>
        <w:rPr>
          <w:rFonts w:ascii="宋体" w:hAnsi="宋体" w:eastAsia="宋体"/>
          <w:b/>
          <w:sz w:val="32"/>
          <w:szCs w:val="32"/>
        </w:rPr>
      </w:pPr>
      <w:r>
        <w:rPr>
          <w:rFonts w:hint="eastAsia" w:ascii="宋体" w:hAnsi="宋体" w:eastAsia="宋体"/>
          <w:b/>
          <w:sz w:val="32"/>
          <w:szCs w:val="32"/>
          <w:lang w:val="en-US" w:eastAsia="zh-CN"/>
        </w:rPr>
        <w:t>六、</w:t>
      </w:r>
      <w:r>
        <w:rPr>
          <w:rFonts w:hint="eastAsia" w:ascii="宋体" w:hAnsi="宋体" w:eastAsia="宋体"/>
          <w:b/>
          <w:sz w:val="32"/>
          <w:szCs w:val="32"/>
        </w:rPr>
        <w:t>附件</w:t>
      </w:r>
    </w:p>
    <w:p>
      <w:pPr>
        <w:rPr>
          <w:lang w:val="mn-MN"/>
        </w:rPr>
      </w:pPr>
      <w:r>
        <w:rPr>
          <w:cs/>
          <w:lang w:val="mn-MN"/>
        </w:rPr>
        <w:t>Хавсралт 1 тендэрийн бичиг баримтын загвар</w:t>
      </w:r>
    </w:p>
    <w:p>
      <w:pPr>
        <w:pStyle w:val="4"/>
        <w:numPr>
          <w:ilvl w:val="0"/>
          <w:numId w:val="0"/>
        </w:numPr>
        <w:spacing w:line="360" w:lineRule="auto"/>
        <w:rPr>
          <w:rFonts w:ascii="宋体" w:eastAsia="宋体"/>
          <w:sz w:val="24"/>
        </w:rPr>
      </w:pPr>
      <w:bookmarkStart w:id="111" w:name="_Toc461108859"/>
      <w:bookmarkStart w:id="112" w:name="_Toc777"/>
      <w:bookmarkStart w:id="113" w:name="_Toc183017274"/>
      <w:r>
        <w:rPr>
          <w:rFonts w:hint="eastAsia" w:ascii="宋体" w:eastAsia="宋体"/>
          <w:sz w:val="24"/>
        </w:rPr>
        <w:t>附件1</w:t>
      </w:r>
      <w:bookmarkStart w:id="114" w:name="_Hlk182755155"/>
      <w:r>
        <w:rPr>
          <w:rFonts w:hint="eastAsia" w:ascii="宋体" w:eastAsia="宋体"/>
          <w:sz w:val="24"/>
        </w:rPr>
        <w:t>投标文件格式</w:t>
      </w:r>
      <w:bookmarkEnd w:id="111"/>
      <w:bookmarkEnd w:id="112"/>
      <w:bookmarkEnd w:id="113"/>
    </w:p>
    <w:p>
      <w:pPr>
        <w:rPr>
          <w:lang w:val="mn-MN"/>
        </w:rPr>
      </w:pPr>
      <w:r>
        <w:rPr>
          <w:cs/>
          <w:lang w:val="mn-MN"/>
        </w:rPr>
        <w:t>Хавсралт 1-1 Тендэрийн бичиг, баримтын нүүр</w:t>
      </w:r>
    </w:p>
    <w:bookmarkEnd w:id="114"/>
    <w:p>
      <w:pPr>
        <w:pStyle w:val="5"/>
        <w:spacing w:line="360" w:lineRule="auto"/>
        <w:rPr>
          <w:rFonts w:ascii="宋体" w:hAnsi="宋体"/>
          <w:sz w:val="24"/>
        </w:rPr>
      </w:pPr>
      <w:bookmarkStart w:id="115" w:name="_Toc461108860"/>
      <w:bookmarkStart w:id="116" w:name="_Toc4481"/>
      <w:bookmarkStart w:id="117" w:name="_Toc183017275"/>
      <w:r>
        <w:rPr>
          <w:rFonts w:hint="eastAsia" w:ascii="宋体" w:hAnsi="宋体"/>
          <w:sz w:val="24"/>
        </w:rPr>
        <w:t>附件1-1 投标文件封面</w:t>
      </w:r>
      <w:bookmarkEnd w:id="115"/>
      <w:bookmarkEnd w:id="116"/>
      <w:bookmarkEnd w:id="117"/>
    </w:p>
    <w:p>
      <w:pPr>
        <w:widowControl/>
        <w:spacing w:line="360" w:lineRule="auto"/>
        <w:ind w:firstLine="960"/>
        <w:rPr>
          <w:rFonts w:ascii="宋体" w:hAnsi="宋体"/>
          <w:b/>
          <w:sz w:val="24"/>
        </w:rPr>
      </w:pPr>
    </w:p>
    <w:p>
      <w:pPr>
        <w:widowControl/>
        <w:spacing w:line="360" w:lineRule="auto"/>
        <w:ind w:firstLine="960"/>
        <w:rPr>
          <w:rFonts w:ascii="宋体" w:hAnsi="宋体"/>
          <w:b/>
          <w:sz w:val="24"/>
        </w:rPr>
      </w:pPr>
    </w:p>
    <w:p>
      <w:pPr>
        <w:widowControl/>
        <w:spacing w:line="360" w:lineRule="auto"/>
        <w:ind w:firstLine="960"/>
        <w:rPr>
          <w:rFonts w:ascii="宋体" w:hAnsi="宋体"/>
          <w:b/>
          <w:sz w:val="24"/>
        </w:rPr>
      </w:pPr>
    </w:p>
    <w:p>
      <w:pPr>
        <w:widowControl/>
        <w:spacing w:line="360" w:lineRule="auto"/>
        <w:ind w:firstLine="843"/>
        <w:rPr>
          <w:b/>
          <w:sz w:val="24"/>
          <w:lang w:val="mn-MN"/>
        </w:rPr>
      </w:pPr>
      <w:r>
        <w:rPr>
          <w:rFonts w:ascii="宋体" w:hAnsi="宋体"/>
          <w:b/>
          <w:sz w:val="24"/>
          <w:cs/>
          <w:lang w:val="mn-MN"/>
        </w:rPr>
        <w:t xml:space="preserve">                      </w:t>
      </w:r>
      <w:r>
        <w:rPr>
          <w:rFonts w:ascii="宋体" w:hAnsi="宋体"/>
          <w:b/>
          <w:sz w:val="32"/>
          <w:szCs w:val="32"/>
          <w:cs/>
          <w:lang w:val="mn-MN"/>
        </w:rPr>
        <w:t xml:space="preserve"> </w:t>
      </w:r>
      <w:r>
        <w:rPr>
          <w:b/>
          <w:sz w:val="32"/>
          <w:szCs w:val="32"/>
          <w:cs/>
          <w:lang w:val="mn-MN"/>
        </w:rPr>
        <w:t>Тендэрийн бичиг баримт</w:t>
      </w:r>
    </w:p>
    <w:p>
      <w:pPr>
        <w:ind w:firstLine="2891" w:firstLineChars="400"/>
        <w:jc w:val="both"/>
        <w:rPr>
          <w:rFonts w:ascii="宋体" w:hAnsi="宋体"/>
          <w:b/>
          <w:sz w:val="72"/>
        </w:rPr>
      </w:pPr>
      <w:r>
        <w:rPr>
          <w:rFonts w:hint="eastAsia" w:ascii="宋体" w:hAnsi="宋体"/>
          <w:b/>
          <w:sz w:val="72"/>
        </w:rPr>
        <w:t>投标文件</w:t>
      </w: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jc w:val="center"/>
        <w:rPr>
          <w:sz w:val="24"/>
          <w:lang w:val="mn-MN"/>
        </w:rPr>
      </w:pPr>
      <w:r>
        <w:rPr>
          <w:sz w:val="32"/>
          <w:szCs w:val="32"/>
          <w:cs/>
          <w:lang w:val="mn-MN"/>
        </w:rPr>
        <w:t>Тендэрийн дугаар:</w:t>
      </w:r>
    </w:p>
    <w:p>
      <w:pPr>
        <w:spacing w:line="400" w:lineRule="exact"/>
        <w:ind w:firstLine="964"/>
        <w:rPr>
          <w:rFonts w:ascii="宋体" w:hAnsi="宋体"/>
          <w:sz w:val="24"/>
        </w:rPr>
      </w:pPr>
    </w:p>
    <w:p>
      <w:pPr>
        <w:ind w:firstLine="1260" w:firstLineChars="350"/>
        <w:rPr>
          <w:rFonts w:asciiTheme="minorHAnsi" w:hAnsiTheme="minorHAnsi"/>
          <w:sz w:val="36"/>
          <w:szCs w:val="28"/>
          <w:u w:val="single"/>
          <w:lang w:val="mn-MN"/>
        </w:rPr>
      </w:pPr>
      <w:r>
        <w:rPr>
          <w:rFonts w:hint="eastAsia" w:ascii="宋体" w:hAnsi="宋体"/>
          <w:sz w:val="36"/>
          <w:szCs w:val="28"/>
        </w:rPr>
        <w:t>招  标  编  号：</w:t>
      </w:r>
      <w:r>
        <w:rPr>
          <w:rFonts w:hint="eastAsia" w:ascii="宋体" w:hAnsi="宋体"/>
          <w:b/>
          <w:sz w:val="36"/>
          <w:szCs w:val="28"/>
          <w:u w:val="single"/>
        </w:rPr>
        <w:t>XX</w:t>
      </w:r>
      <w:r>
        <w:rPr>
          <w:rFonts w:ascii="宋体" w:hAnsi="宋体"/>
          <w:b/>
          <w:sz w:val="36"/>
          <w:szCs w:val="28"/>
          <w:u w:val="single"/>
        </w:rPr>
        <w:t>QD</w:t>
      </w:r>
      <w:r>
        <w:rPr>
          <w:rFonts w:hint="eastAsia" w:ascii="宋体" w:hAnsi="宋体"/>
          <w:b/>
          <w:sz w:val="36"/>
          <w:szCs w:val="28"/>
          <w:u w:val="single"/>
        </w:rPr>
        <w:t>YS-202</w:t>
      </w:r>
      <w:r>
        <w:rPr>
          <w:rFonts w:hint="eastAsia" w:ascii="宋体" w:hAnsi="宋体"/>
          <w:b/>
          <w:sz w:val="36"/>
          <w:szCs w:val="28"/>
          <w:u w:val="single"/>
          <w:lang w:val="en-US" w:eastAsia="zh-CN"/>
        </w:rPr>
        <w:t>6</w:t>
      </w:r>
      <w:r>
        <w:rPr>
          <w:rFonts w:hint="eastAsia" w:ascii="宋体" w:hAnsi="宋体"/>
          <w:b/>
          <w:sz w:val="36"/>
          <w:szCs w:val="28"/>
          <w:u w:val="single"/>
        </w:rPr>
        <w:t>00</w:t>
      </w:r>
      <w:r>
        <w:rPr>
          <w:rFonts w:hint="eastAsia" w:ascii="宋体" w:hAnsi="宋体"/>
          <w:b/>
          <w:sz w:val="36"/>
          <w:szCs w:val="28"/>
          <w:u w:val="single"/>
          <w:lang w:val="en-US" w:eastAsia="zh-CN"/>
        </w:rPr>
        <w:t>2</w:t>
      </w:r>
      <w:r>
        <w:rPr>
          <w:rFonts w:asciiTheme="minorHAnsi" w:hAnsiTheme="minorHAnsi"/>
          <w:b/>
          <w:sz w:val="36"/>
          <w:szCs w:val="28"/>
          <w:u w:val="single"/>
          <w:lang w:val="mn-MN"/>
        </w:rPr>
        <w:t xml:space="preserve">   </w:t>
      </w:r>
    </w:p>
    <w:p>
      <w:pPr>
        <w:ind w:firstLine="1124"/>
        <w:rPr>
          <w:sz w:val="36"/>
          <w:szCs w:val="28"/>
          <w:lang w:val="mn-MN"/>
        </w:rPr>
      </w:pPr>
      <w:r>
        <w:rPr>
          <w:sz w:val="36"/>
          <w:szCs w:val="28"/>
          <w:cs/>
          <w:lang w:val="mn-MN"/>
        </w:rPr>
        <w:t xml:space="preserve">           </w:t>
      </w:r>
      <w:r>
        <w:rPr>
          <w:sz w:val="32"/>
          <w:cs/>
          <w:lang w:val="mn-MN"/>
        </w:rPr>
        <w:t xml:space="preserve">    Тендэрт оролцогч:</w:t>
      </w:r>
    </w:p>
    <w:p>
      <w:pPr>
        <w:ind w:firstLine="1260" w:firstLineChars="350"/>
        <w:rPr>
          <w:rFonts w:ascii="宋体" w:hAnsi="宋体"/>
          <w:sz w:val="36"/>
          <w:szCs w:val="28"/>
          <w:u w:val="single"/>
        </w:rPr>
      </w:pPr>
      <w:r>
        <w:rPr>
          <w:rFonts w:hint="eastAsia" w:ascii="宋体" w:hAnsi="宋体"/>
          <w:sz w:val="36"/>
          <w:szCs w:val="28"/>
        </w:rPr>
        <w:t>投    标    人：</w:t>
      </w:r>
      <w:r>
        <w:rPr>
          <w:rFonts w:hint="eastAsia" w:ascii="宋体" w:hAnsi="宋体"/>
          <w:sz w:val="36"/>
          <w:szCs w:val="28"/>
          <w:u w:val="single"/>
        </w:rPr>
        <w:t xml:space="preserve">                    </w:t>
      </w:r>
    </w:p>
    <w:p>
      <w:pPr>
        <w:ind w:firstLine="1124"/>
        <w:rPr>
          <w:rFonts w:ascii="宋体" w:hAnsi="宋体"/>
          <w:sz w:val="36"/>
          <w:szCs w:val="28"/>
          <w:lang w:val="mn-MN"/>
        </w:rPr>
      </w:pPr>
      <w:r>
        <w:rPr>
          <w:rFonts w:ascii="宋体" w:hAnsi="宋体"/>
          <w:sz w:val="36"/>
          <w:szCs w:val="28"/>
          <w:cs/>
          <w:lang w:val="mn-MN"/>
        </w:rPr>
        <w:t xml:space="preserve">             </w:t>
      </w:r>
      <w:r>
        <w:rPr>
          <w:rFonts w:ascii="宋体" w:hAnsi="宋体"/>
          <w:sz w:val="28"/>
          <w:szCs w:val="22"/>
          <w:cs/>
          <w:lang w:val="mn-MN"/>
        </w:rPr>
        <w:t xml:space="preserve">  Итгэмжилсэн төлөөллөгч:</w:t>
      </w:r>
    </w:p>
    <w:p>
      <w:pPr>
        <w:ind w:firstLine="1260" w:firstLineChars="350"/>
        <w:rPr>
          <w:rFonts w:ascii="宋体" w:hAnsi="宋体"/>
          <w:sz w:val="36"/>
          <w:szCs w:val="28"/>
          <w:u w:val="single"/>
        </w:rPr>
      </w:pPr>
      <w:r>
        <w:rPr>
          <w:rFonts w:hint="eastAsia" w:ascii="宋体" w:hAnsi="宋体"/>
          <w:sz w:val="36"/>
          <w:szCs w:val="28"/>
        </w:rPr>
        <w:t>全  权  代  表：</w:t>
      </w:r>
      <w:r>
        <w:rPr>
          <w:rFonts w:hint="eastAsia" w:ascii="宋体" w:hAnsi="宋体"/>
          <w:sz w:val="36"/>
          <w:szCs w:val="28"/>
          <w:u w:val="single"/>
        </w:rPr>
        <w:t xml:space="preserve">                    </w:t>
      </w:r>
    </w:p>
    <w:p>
      <w:pPr>
        <w:ind w:left="1050" w:firstLine="883"/>
        <w:rPr>
          <w:rFonts w:ascii="宋体" w:hAnsi="宋体"/>
          <w:sz w:val="28"/>
          <w:szCs w:val="22"/>
          <w:lang w:val="mn-MN"/>
        </w:rPr>
      </w:pPr>
      <w:r>
        <w:rPr>
          <w:rFonts w:ascii="宋体" w:hAnsi="宋体"/>
          <w:sz w:val="28"/>
          <w:szCs w:val="22"/>
          <w:cs/>
          <w:lang w:val="mn-MN"/>
        </w:rPr>
        <w:t>Сар өдөр:</w:t>
      </w:r>
    </w:p>
    <w:p>
      <w:pPr>
        <w:ind w:firstLine="1260" w:firstLineChars="350"/>
        <w:rPr>
          <w:rFonts w:ascii="宋体" w:hAnsi="宋体"/>
          <w:sz w:val="32"/>
          <w:u w:val="single"/>
        </w:rPr>
      </w:pPr>
      <w:r>
        <w:rPr>
          <w:rFonts w:hint="eastAsia" w:ascii="宋体" w:hAnsi="宋体"/>
          <w:sz w:val="36"/>
          <w:szCs w:val="28"/>
        </w:rPr>
        <w:t>日期：</w:t>
      </w:r>
      <w:r>
        <w:rPr>
          <w:rFonts w:hint="eastAsia" w:ascii="宋体" w:hAnsi="宋体"/>
          <w:sz w:val="36"/>
          <w:szCs w:val="28"/>
          <w:u w:val="single"/>
        </w:rPr>
        <w:t xml:space="preserve">                    </w:t>
      </w:r>
    </w:p>
    <w:p>
      <w:pPr>
        <w:ind w:left="480" w:firstLine="840" w:firstLineChars="350"/>
        <w:rPr>
          <w:sz w:val="24"/>
          <w:u w:val="single"/>
          <w:lang w:val="mn-MN"/>
        </w:rPr>
      </w:pPr>
    </w:p>
    <w:p>
      <w:pPr>
        <w:pStyle w:val="5"/>
        <w:spacing w:line="360" w:lineRule="auto"/>
        <w:ind w:left="480" w:firstLine="960"/>
        <w:rPr>
          <w:sz w:val="24"/>
          <w:szCs w:val="24"/>
          <w:lang w:val="mn-MN"/>
        </w:rPr>
      </w:pPr>
      <w:bookmarkStart w:id="118" w:name="_Toc461108861"/>
      <w:bookmarkStart w:id="119" w:name="_Toc8000"/>
      <w:r>
        <w:rPr>
          <w:sz w:val="24"/>
          <w:szCs w:val="24"/>
          <w:cs/>
          <w:lang w:val="mn-MN"/>
        </w:rPr>
        <w:t xml:space="preserve">Хавсралт1-2  Теэдэрийн бичиг </w:t>
      </w:r>
    </w:p>
    <w:p>
      <w:pPr>
        <w:pStyle w:val="5"/>
        <w:spacing w:line="360" w:lineRule="auto"/>
        <w:ind w:left="480" w:firstLine="960"/>
        <w:rPr>
          <w:sz w:val="24"/>
          <w:szCs w:val="24"/>
        </w:rPr>
      </w:pPr>
      <w:bookmarkStart w:id="120" w:name="_Toc183017276"/>
      <w:r>
        <w:rPr>
          <w:sz w:val="24"/>
          <w:szCs w:val="24"/>
        </w:rPr>
        <w:t xml:space="preserve">附件1-2 </w:t>
      </w:r>
      <w:bookmarkEnd w:id="118"/>
      <w:r>
        <w:rPr>
          <w:sz w:val="24"/>
          <w:szCs w:val="24"/>
        </w:rPr>
        <w:t>投标书</w:t>
      </w:r>
      <w:bookmarkEnd w:id="119"/>
      <w:bookmarkEnd w:id="120"/>
    </w:p>
    <w:p>
      <w:pPr>
        <w:spacing w:line="360" w:lineRule="auto"/>
        <w:ind w:left="480"/>
        <w:rPr>
          <w:b/>
          <w:bCs/>
          <w:sz w:val="28"/>
          <w:szCs w:val="28"/>
          <w:cs/>
          <w:lang w:val="mn-MN"/>
        </w:rPr>
      </w:pPr>
      <w:r>
        <w:rPr>
          <w:sz w:val="24"/>
          <w:cs/>
          <w:lang w:val="mn-MN"/>
        </w:rPr>
        <w:t xml:space="preserve">                                                       </w:t>
      </w:r>
      <w:r>
        <w:rPr>
          <w:b/>
          <w:bCs/>
          <w:sz w:val="28"/>
          <w:szCs w:val="28"/>
          <w:cs/>
          <w:lang w:val="mn-MN"/>
        </w:rPr>
        <w:t xml:space="preserve">  Тендэрийн бичиг</w:t>
      </w:r>
    </w:p>
    <w:p>
      <w:pPr>
        <w:spacing w:line="440" w:lineRule="exact"/>
        <w:ind w:firstLine="1760"/>
        <w:jc w:val="center"/>
        <w:rPr>
          <w:rFonts w:ascii="宋体" w:hAnsi="宋体"/>
          <w:b/>
          <w:sz w:val="44"/>
          <w:szCs w:val="28"/>
        </w:rPr>
      </w:pPr>
      <w:r>
        <w:rPr>
          <w:rFonts w:hint="eastAsia" w:ascii="宋体" w:hAnsi="宋体"/>
          <w:b/>
          <w:sz w:val="44"/>
          <w:szCs w:val="28"/>
        </w:rPr>
        <w:t xml:space="preserve">  投标书</w:t>
      </w:r>
    </w:p>
    <w:p>
      <w:pPr>
        <w:ind w:left="480"/>
        <w:rPr>
          <w:sz w:val="24"/>
          <w:cs/>
          <w:lang w:val="mn-MN"/>
        </w:rPr>
      </w:pPr>
    </w:p>
    <w:p>
      <w:pPr>
        <w:spacing w:line="440" w:lineRule="exact"/>
        <w:ind w:left="480" w:firstLine="843"/>
        <w:rPr>
          <w:b/>
          <w:sz w:val="24"/>
          <w:lang w:val="mn-MN"/>
        </w:rPr>
      </w:pPr>
      <w:r>
        <w:rPr>
          <w:b/>
          <w:sz w:val="24"/>
          <w:cs/>
          <w:lang w:val="mn-MN"/>
        </w:rPr>
        <w:t xml:space="preserve">Шинь Шинь ХХК-д </w:t>
      </w:r>
    </w:p>
    <w:p>
      <w:pPr>
        <w:spacing w:line="400" w:lineRule="exact"/>
        <w:ind w:left="480" w:firstLine="964"/>
        <w:rPr>
          <w:sz w:val="24"/>
          <w:u w:val="single"/>
        </w:rPr>
      </w:pPr>
      <w:r>
        <w:rPr>
          <w:sz w:val="24"/>
        </w:rPr>
        <w:t>致</w:t>
      </w:r>
      <w:r>
        <w:rPr>
          <w:bCs/>
          <w:sz w:val="24"/>
        </w:rPr>
        <w:t>：</w:t>
      </w:r>
      <w:bookmarkStart w:id="121" w:name="_Hlk182753052"/>
      <w:r>
        <w:rPr>
          <w:sz w:val="24"/>
          <w:u w:val="single"/>
        </w:rPr>
        <w:t>新鑫有限责任公司</w:t>
      </w:r>
      <w:bookmarkEnd w:id="121"/>
    </w:p>
    <w:p>
      <w:pPr>
        <w:spacing w:line="400" w:lineRule="exact"/>
        <w:ind w:left="480" w:firstLine="843"/>
        <w:rPr>
          <w:sz w:val="24"/>
          <w:lang w:val="mn-MN"/>
        </w:rPr>
      </w:pPr>
      <w:r>
        <w:rPr>
          <w:sz w:val="24"/>
          <w:cs/>
          <w:lang w:val="mn-MN"/>
        </w:rPr>
        <w:t xml:space="preserve">Шинь Шинь ХХК-ийн баяжмал тээвэрийн тендэрийн зарыг үндэслэн </w:t>
      </w:r>
      <w:r>
        <w:rPr>
          <w:sz w:val="24"/>
          <w:lang w:val="en-GB"/>
        </w:rPr>
        <w:t>(</w:t>
      </w:r>
      <w:r>
        <w:rPr>
          <w:sz w:val="24"/>
          <w:cs/>
          <w:lang w:val="mn-MN"/>
        </w:rPr>
        <w:t>Тендэрийн дугаар:</w:t>
      </w:r>
      <w:r>
        <w:rPr>
          <w:rFonts w:hint="eastAsia"/>
          <w:sz w:val="24"/>
          <w:u w:val="single"/>
        </w:rPr>
        <w:t>XX</w:t>
      </w:r>
      <w:r>
        <w:rPr>
          <w:sz w:val="24"/>
          <w:u w:val="single"/>
        </w:rPr>
        <w:t>QD</w:t>
      </w:r>
      <w:r>
        <w:rPr>
          <w:rFonts w:hint="eastAsia"/>
          <w:sz w:val="24"/>
          <w:u w:val="single"/>
        </w:rPr>
        <w:t>YS-202</w:t>
      </w:r>
      <w:r>
        <w:rPr>
          <w:rFonts w:hint="eastAsia"/>
          <w:sz w:val="24"/>
          <w:u w:val="single"/>
          <w:lang w:val="en-US" w:eastAsia="zh-CN"/>
        </w:rPr>
        <w:t>6</w:t>
      </w:r>
      <w:r>
        <w:rPr>
          <w:rFonts w:hint="eastAsia"/>
          <w:sz w:val="24"/>
          <w:u w:val="single"/>
        </w:rPr>
        <w:t>002</w:t>
      </w:r>
      <w:r>
        <w:rPr>
          <w:sz w:val="24"/>
          <w:u w:val="single"/>
          <w:lang w:val="mn-MN"/>
        </w:rPr>
        <w:t xml:space="preserve"> </w:t>
      </w:r>
      <w:r>
        <w:rPr>
          <w:sz w:val="24"/>
          <w:lang w:val="en-GB"/>
        </w:rPr>
        <w:t>)</w:t>
      </w:r>
      <w:r>
        <w:rPr>
          <w:sz w:val="24"/>
          <w:cs/>
          <w:lang w:val="mn-MN"/>
        </w:rPr>
        <w:t xml:space="preserve">Итгэмжилсэн төлөөлөгч </w:t>
      </w:r>
      <w:r>
        <w:rPr>
          <w:sz w:val="24"/>
          <w:lang w:val="en-GB"/>
        </w:rPr>
        <w:t>(</w:t>
      </w:r>
      <w:r>
        <w:rPr>
          <w:sz w:val="24"/>
          <w:cs/>
          <w:lang w:val="mn-MN"/>
        </w:rPr>
        <w:t>Овог нэр, албан тушаал</w:t>
      </w:r>
      <w:r>
        <w:rPr>
          <w:sz w:val="24"/>
          <w:lang w:val="en-GB"/>
        </w:rPr>
        <w:t>)</w:t>
      </w:r>
      <w:r>
        <w:rPr>
          <w:sz w:val="24"/>
          <w:cs/>
          <w:lang w:val="mn-MN"/>
        </w:rPr>
        <w:t xml:space="preserve">албан ёсны итгэмжлэлээр тендэрт оролцогчийг төлөөлөн </w:t>
      </w:r>
      <w:r>
        <w:rPr>
          <w:sz w:val="24"/>
          <w:lang w:val="en-GB"/>
        </w:rPr>
        <w:t>(</w:t>
      </w:r>
      <w:r>
        <w:rPr>
          <w:sz w:val="24"/>
          <w:cs/>
          <w:lang w:val="mn-MN"/>
        </w:rPr>
        <w:t>Тендэрт оролцогчийн бүтэн нэр</w:t>
      </w:r>
      <w:r>
        <w:rPr>
          <w:sz w:val="24"/>
          <w:lang w:val="en-GB"/>
        </w:rPr>
        <w:t>)</w:t>
      </w:r>
      <w:r>
        <w:rPr>
          <w:sz w:val="24"/>
          <w:cs/>
          <w:lang w:val="mn-MN"/>
        </w:rPr>
        <w:t xml:space="preserve">доорх бичиг баримтыг өгнө. </w:t>
      </w:r>
    </w:p>
    <w:p>
      <w:pPr>
        <w:tabs>
          <w:tab w:val="left" w:pos="3180"/>
          <w:tab w:val="center" w:pos="4524"/>
        </w:tabs>
        <w:spacing w:line="400" w:lineRule="exact"/>
        <w:ind w:left="480" w:firstLine="960" w:firstLineChars="400"/>
        <w:rPr>
          <w:b/>
          <w:sz w:val="24"/>
        </w:rPr>
      </w:pPr>
      <w:r>
        <w:rPr>
          <w:sz w:val="24"/>
        </w:rPr>
        <w:t>根据</w:t>
      </w:r>
      <w:bookmarkStart w:id="122" w:name="_Hlk182753226"/>
      <w:r>
        <w:rPr>
          <w:sz w:val="24"/>
          <w:u w:val="single"/>
        </w:rPr>
        <w:t>新鑫有限责任公司汽车运输</w:t>
      </w:r>
      <w:bookmarkEnd w:id="122"/>
      <w:r>
        <w:rPr>
          <w:rFonts w:hint="eastAsia"/>
          <w:sz w:val="24"/>
          <w:u w:val="single"/>
        </w:rPr>
        <w:t>精矿粉</w:t>
      </w:r>
      <w:r>
        <w:rPr>
          <w:sz w:val="24"/>
        </w:rPr>
        <w:t>招标公告（招标编号:</w:t>
      </w:r>
      <w:r>
        <w:rPr>
          <w:rFonts w:hint="eastAsia" w:ascii="宋体" w:hAnsi="宋体"/>
          <w:b/>
          <w:sz w:val="44"/>
          <w:szCs w:val="44"/>
        </w:rPr>
        <w:t xml:space="preserve"> </w:t>
      </w:r>
      <w:r>
        <w:rPr>
          <w:rFonts w:hint="eastAsia"/>
          <w:sz w:val="24"/>
          <w:u w:val="single"/>
        </w:rPr>
        <w:t>XX</w:t>
      </w:r>
      <w:r>
        <w:rPr>
          <w:sz w:val="24"/>
          <w:u w:val="single"/>
        </w:rPr>
        <w:t>QD</w:t>
      </w:r>
      <w:r>
        <w:rPr>
          <w:rFonts w:hint="eastAsia"/>
          <w:sz w:val="24"/>
          <w:u w:val="single"/>
        </w:rPr>
        <w:t>YS-202</w:t>
      </w:r>
      <w:r>
        <w:rPr>
          <w:rFonts w:hint="eastAsia"/>
          <w:sz w:val="24"/>
          <w:u w:val="single"/>
          <w:lang w:val="en-US" w:eastAsia="zh-CN"/>
        </w:rPr>
        <w:t>6</w:t>
      </w:r>
      <w:r>
        <w:rPr>
          <w:rFonts w:hint="eastAsia"/>
          <w:sz w:val="24"/>
          <w:u w:val="single"/>
        </w:rPr>
        <w:t>002</w:t>
      </w:r>
      <w:r>
        <w:rPr>
          <w:sz w:val="24"/>
        </w:rPr>
        <w:t>），全权代表（姓名、职务）经正式授权并代表投标人（投标人全称）提交下述文件。</w:t>
      </w:r>
    </w:p>
    <w:p>
      <w:pPr>
        <w:numPr>
          <w:ilvl w:val="0"/>
          <w:numId w:val="21"/>
        </w:numPr>
        <w:spacing w:line="380" w:lineRule="exact"/>
        <w:ind w:left="480" w:firstLine="843"/>
        <w:rPr>
          <w:sz w:val="24"/>
        </w:rPr>
      </w:pPr>
      <w:r>
        <w:rPr>
          <w:sz w:val="24"/>
          <w:cs/>
          <w:lang w:val="mn-MN"/>
        </w:rPr>
        <w:t>Тендэрийн бичиг</w:t>
      </w:r>
    </w:p>
    <w:p>
      <w:pPr>
        <w:spacing w:line="380" w:lineRule="exact"/>
        <w:ind w:left="480" w:firstLine="720" w:firstLineChars="300"/>
        <w:rPr>
          <w:sz w:val="24"/>
        </w:rPr>
      </w:pPr>
      <w:r>
        <w:rPr>
          <w:sz w:val="24"/>
        </w:rPr>
        <w:t>投标书</w:t>
      </w:r>
    </w:p>
    <w:p>
      <w:pPr>
        <w:numPr>
          <w:ilvl w:val="0"/>
          <w:numId w:val="21"/>
        </w:numPr>
        <w:spacing w:line="380" w:lineRule="exact"/>
        <w:ind w:left="480" w:firstLine="843"/>
        <w:rPr>
          <w:sz w:val="24"/>
        </w:rPr>
      </w:pPr>
      <w:r>
        <w:rPr>
          <w:sz w:val="24"/>
          <w:cs/>
          <w:lang w:val="mn-MN"/>
        </w:rPr>
        <w:t>Хууль ёсны итгэмжлэл</w:t>
      </w:r>
    </w:p>
    <w:p>
      <w:pPr>
        <w:spacing w:line="380" w:lineRule="exact"/>
        <w:ind w:left="480" w:firstLine="600" w:firstLineChars="250"/>
        <w:rPr>
          <w:sz w:val="24"/>
        </w:rPr>
      </w:pPr>
      <w:r>
        <w:rPr>
          <w:sz w:val="24"/>
        </w:rPr>
        <w:t>法定代表人授权书</w:t>
      </w:r>
    </w:p>
    <w:p>
      <w:pPr>
        <w:numPr>
          <w:ilvl w:val="0"/>
          <w:numId w:val="21"/>
        </w:numPr>
        <w:spacing w:line="380" w:lineRule="exact"/>
        <w:ind w:left="480" w:firstLine="843"/>
        <w:rPr>
          <w:sz w:val="24"/>
        </w:rPr>
      </w:pPr>
      <w:r>
        <w:rPr>
          <w:sz w:val="24"/>
          <w:cs/>
          <w:lang w:val="mn-MN"/>
        </w:rPr>
        <w:t>Үнийн санал</w:t>
      </w:r>
    </w:p>
    <w:p>
      <w:pPr>
        <w:spacing w:line="380" w:lineRule="exact"/>
        <w:ind w:left="480" w:firstLine="720" w:firstLineChars="300"/>
        <w:rPr>
          <w:sz w:val="24"/>
        </w:rPr>
      </w:pPr>
      <w:r>
        <w:rPr>
          <w:sz w:val="24"/>
        </w:rPr>
        <w:t>开标一览表</w:t>
      </w:r>
    </w:p>
    <w:p>
      <w:pPr>
        <w:numPr>
          <w:ilvl w:val="0"/>
          <w:numId w:val="21"/>
        </w:numPr>
        <w:spacing w:line="380" w:lineRule="exact"/>
        <w:ind w:left="480" w:firstLine="843"/>
        <w:rPr>
          <w:sz w:val="24"/>
        </w:rPr>
      </w:pPr>
      <w:r>
        <w:rPr>
          <w:sz w:val="24"/>
          <w:cs/>
          <w:lang w:val="mn-MN"/>
        </w:rPr>
        <w:t>Техникийн стандарт болон үзүүлэлт</w:t>
      </w:r>
    </w:p>
    <w:p>
      <w:pPr>
        <w:spacing w:line="380" w:lineRule="exact"/>
        <w:ind w:left="480" w:firstLine="600" w:firstLineChars="250"/>
        <w:rPr>
          <w:sz w:val="24"/>
        </w:rPr>
      </w:pPr>
      <w:r>
        <w:rPr>
          <w:sz w:val="24"/>
        </w:rPr>
        <w:t>技术规格及参数</w:t>
      </w:r>
    </w:p>
    <w:p>
      <w:pPr>
        <w:numPr>
          <w:ilvl w:val="0"/>
          <w:numId w:val="21"/>
        </w:numPr>
        <w:spacing w:line="380" w:lineRule="exact"/>
        <w:ind w:left="480" w:firstLine="843"/>
        <w:rPr>
          <w:sz w:val="24"/>
        </w:rPr>
      </w:pPr>
      <w:r>
        <w:rPr>
          <w:sz w:val="24"/>
          <w:cs/>
          <w:lang w:val="mn-MN"/>
        </w:rPr>
        <w:t>Улсын бүртгэлийн гэрчилгээ болон нотлох баримт</w:t>
      </w:r>
    </w:p>
    <w:p>
      <w:pPr>
        <w:spacing w:line="380" w:lineRule="exact"/>
        <w:ind w:left="480" w:firstLine="600" w:firstLineChars="250"/>
        <w:rPr>
          <w:sz w:val="24"/>
        </w:rPr>
      </w:pPr>
      <w:r>
        <w:rPr>
          <w:sz w:val="24"/>
        </w:rPr>
        <w:t>企业资质和证明文件</w:t>
      </w:r>
    </w:p>
    <w:p>
      <w:pPr>
        <w:spacing w:line="380" w:lineRule="exact"/>
        <w:ind w:left="480" w:firstLine="843"/>
        <w:rPr>
          <w:sz w:val="24"/>
          <w:lang w:val="mn-MN"/>
        </w:rPr>
      </w:pPr>
      <w:r>
        <w:rPr>
          <w:sz w:val="24"/>
          <w:cs/>
          <w:lang w:val="mn-MN"/>
        </w:rPr>
        <w:t xml:space="preserve">Тендэрт оролцогч итгэмжилсэн төлөөлөгч дараах байдлыг зөвшөөрч байгаагаа мэдэгдэж байна. </w:t>
      </w:r>
    </w:p>
    <w:p>
      <w:pPr>
        <w:spacing w:line="380" w:lineRule="exact"/>
        <w:ind w:left="480" w:firstLine="964"/>
        <w:rPr>
          <w:sz w:val="24"/>
        </w:rPr>
      </w:pPr>
      <w:r>
        <w:rPr>
          <w:sz w:val="24"/>
        </w:rPr>
        <w:t>据此函，投标人全权代表宣布同意如下：</w:t>
      </w:r>
    </w:p>
    <w:p>
      <w:pPr>
        <w:widowControl/>
        <w:numPr>
          <w:ilvl w:val="0"/>
          <w:numId w:val="22"/>
        </w:numPr>
        <w:spacing w:line="360" w:lineRule="auto"/>
        <w:ind w:left="480" w:firstLine="480" w:firstLineChars="200"/>
        <w:rPr>
          <w:kern w:val="0"/>
          <w:sz w:val="24"/>
          <w:cs/>
          <w:lang w:val="mn-MN"/>
        </w:rPr>
      </w:pPr>
      <w:r>
        <w:rPr>
          <w:kern w:val="0"/>
          <w:sz w:val="24"/>
          <w:cs/>
          <w:lang w:val="mn-MN"/>
        </w:rPr>
        <w:t xml:space="preserve">Тендэрт оролцогч нь сүүлийн 3 жил ноцтой зөрчил гаргасан эсвэл тендэрт оролцогчоос шалтгаалан гэрээг цуцлуулсан тохиолдол гаргаагүй байх, тендэрт оролцогч нь тендэрийн ялагчийг хуурамчаар аваагүй ноцтой зөрчил болон томоохон чанарын асуудалгүй байх, тендэрт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w:t>
      </w:r>
    </w:p>
    <w:p>
      <w:pPr>
        <w:widowControl/>
        <w:spacing w:line="360" w:lineRule="auto"/>
        <w:ind w:left="480" w:firstLine="744" w:firstLineChars="310"/>
        <w:rPr>
          <w:sz w:val="24"/>
        </w:rPr>
      </w:pPr>
      <w:r>
        <w:rPr>
          <w:sz w:val="24"/>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spacing w:line="380" w:lineRule="exact"/>
        <w:ind w:left="480" w:firstLine="480" w:firstLineChars="200"/>
        <w:rPr>
          <w:sz w:val="24"/>
          <w:lang w:val="mn-MN"/>
        </w:rPr>
      </w:pPr>
      <w:r>
        <w:rPr>
          <w:sz w:val="24"/>
        </w:rPr>
        <w:t>（2）</w:t>
      </w:r>
      <w:r>
        <w:rPr>
          <w:sz w:val="24"/>
          <w:cs/>
          <w:lang w:val="mn-MN"/>
        </w:rPr>
        <w:t xml:space="preserve">Тендэрт оролцогч тендэрийн бичиг, баримтын дагуу гэрээний үүрэг хариуцлагаа биелүүлнэ. </w:t>
      </w:r>
    </w:p>
    <w:p>
      <w:pPr>
        <w:spacing w:line="380" w:lineRule="exact"/>
        <w:ind w:left="480" w:firstLine="480" w:firstLineChars="200"/>
        <w:rPr>
          <w:sz w:val="24"/>
        </w:rPr>
      </w:pPr>
      <w:r>
        <w:rPr>
          <w:sz w:val="24"/>
        </w:rPr>
        <w:t>投标人将按招标文件的规定履行合同责任和义务。</w:t>
      </w:r>
    </w:p>
    <w:p>
      <w:pPr>
        <w:spacing w:line="380" w:lineRule="exact"/>
        <w:ind w:left="480" w:firstLine="480" w:firstLineChars="200"/>
        <w:rPr>
          <w:sz w:val="24"/>
          <w:lang w:val="mn-MN"/>
        </w:rPr>
      </w:pPr>
      <w:r>
        <w:rPr>
          <w:sz w:val="24"/>
        </w:rPr>
        <w:t>（3）</w:t>
      </w:r>
      <w:r>
        <w:rPr>
          <w:sz w:val="24"/>
          <w:cs/>
          <w:lang w:val="mn-MN"/>
        </w:rPr>
        <w:t xml:space="preserve">Тендэрт оролцогч нь тендэрийн бүх бичиг баримтыг бүрэн дүүрэн ойлгож, нягталж шалгана. Бичиг баримтыг зассан </w:t>
      </w:r>
      <w:r>
        <w:rPr>
          <w:sz w:val="24"/>
          <w:lang w:val="en-GB"/>
        </w:rPr>
        <w:t>(</w:t>
      </w:r>
      <w:r>
        <w:rPr>
          <w:sz w:val="24"/>
          <w:cs/>
          <w:lang w:val="mn-MN"/>
        </w:rPr>
        <w:t xml:space="preserve">хэрвээ байгаа бол </w:t>
      </w:r>
      <w:r>
        <w:rPr>
          <w:sz w:val="24"/>
          <w:lang w:val="en-GB"/>
        </w:rPr>
        <w:t>)</w:t>
      </w:r>
      <w:r>
        <w:rPr>
          <w:sz w:val="24"/>
          <w:cs/>
          <w:lang w:val="mn-MN"/>
        </w:rPr>
        <w:t xml:space="preserve">болон ходбогдох хавсралтууд багтана. </w:t>
      </w:r>
    </w:p>
    <w:p>
      <w:pPr>
        <w:spacing w:line="380" w:lineRule="exact"/>
        <w:ind w:left="480" w:firstLine="480" w:firstLineChars="200"/>
        <w:rPr>
          <w:sz w:val="24"/>
        </w:rPr>
      </w:pPr>
      <w:r>
        <w:rPr>
          <w:sz w:val="24"/>
        </w:rPr>
        <w:t>投标人已详细审查并充分理解全部招标文件，包括修改文件（如有的话）和有关附件。</w:t>
      </w:r>
    </w:p>
    <w:p>
      <w:pPr>
        <w:spacing w:line="380" w:lineRule="exact"/>
        <w:ind w:left="480" w:firstLine="480" w:firstLineChars="200"/>
        <w:rPr>
          <w:sz w:val="24"/>
          <w:lang w:val="mn-MN"/>
        </w:rPr>
      </w:pPr>
      <w:r>
        <w:rPr>
          <w:sz w:val="24"/>
        </w:rPr>
        <w:t>（4）</w:t>
      </w:r>
      <w:r>
        <w:rPr>
          <w:sz w:val="24"/>
          <w:cs/>
          <w:lang w:val="mn-MN"/>
        </w:rPr>
        <w:t>Тус үнийн санал нь тендэрийн бичиг баримт нээсэн өдрөөс эхлэн 90 хоног хүчинтэй байна.</w:t>
      </w:r>
    </w:p>
    <w:p>
      <w:pPr>
        <w:spacing w:line="380" w:lineRule="exact"/>
        <w:ind w:left="480" w:firstLine="480" w:firstLineChars="200"/>
        <w:rPr>
          <w:sz w:val="24"/>
        </w:rPr>
      </w:pPr>
      <w:r>
        <w:rPr>
          <w:sz w:val="24"/>
        </w:rPr>
        <w:t>本报价自投标文件开启日起有效期为</w:t>
      </w:r>
      <w:r>
        <w:rPr>
          <w:rFonts w:hint="eastAsia"/>
          <w:sz w:val="24"/>
          <w:lang w:val="en-US" w:eastAsia="zh-CN"/>
        </w:rPr>
        <w:t>30</w:t>
      </w:r>
      <w:r>
        <w:rPr>
          <w:sz w:val="24"/>
        </w:rPr>
        <w:t>个日历天。</w:t>
      </w:r>
    </w:p>
    <w:p>
      <w:pPr>
        <w:spacing w:line="380" w:lineRule="exact"/>
        <w:ind w:left="480" w:firstLine="480" w:firstLineChars="200"/>
        <w:rPr>
          <w:sz w:val="24"/>
          <w:lang w:val="mn-MN"/>
        </w:rPr>
      </w:pPr>
      <w:r>
        <w:rPr>
          <w:sz w:val="24"/>
        </w:rPr>
        <w:t>（5）</w:t>
      </w:r>
      <w:r>
        <w:rPr>
          <w:sz w:val="24"/>
          <w:cs/>
          <w:lang w:val="mn-MN"/>
        </w:rPr>
        <w:t>Тендэр оролцогч нь тендэр зарлагчийн шаардлагаар үнийн саналтай холбоотой бүх тоон мэдээлэл , материалуудыг гаргаж өгөхийг зөвшөөрч байна. Үнэлгээний комисс нь хамгийн бага үнийн санал эсвэл хүлээн авсан ямар ч тендэрийн бичгийг заавал хүлээн авахгүй гэдгийг бүрэн  ойлгох</w:t>
      </w:r>
    </w:p>
    <w:p>
      <w:pPr>
        <w:spacing w:line="380" w:lineRule="exact"/>
        <w:ind w:left="480" w:firstLine="480" w:firstLineChars="200"/>
        <w:rPr>
          <w:sz w:val="24"/>
        </w:rPr>
      </w:pPr>
      <w:r>
        <w:rPr>
          <w:sz w:val="24"/>
        </w:rPr>
        <w:t>投标人同意提供按照招标人可能要求的与其报价有关的一切数据资料，完全理解评标委员会不一定接受最低价的报价或收到的任何投标文件。</w:t>
      </w:r>
    </w:p>
    <w:p>
      <w:pPr>
        <w:spacing w:line="380" w:lineRule="exact"/>
        <w:ind w:left="480" w:firstLine="480" w:firstLineChars="200"/>
        <w:rPr>
          <w:sz w:val="24"/>
          <w:lang w:val="mn-MN"/>
        </w:rPr>
      </w:pPr>
      <w:r>
        <w:rPr>
          <w:sz w:val="24"/>
        </w:rPr>
        <w:t>（6）</w:t>
      </w:r>
      <w:r>
        <w:rPr>
          <w:sz w:val="24"/>
          <w:cs/>
          <w:lang w:val="mn-MN"/>
        </w:rPr>
        <w:t>Энэ удаагийн тендэртэй холбоотой аливаа асуудлыг бүх албан ёсны хаягаар илгээнэ үү.</w:t>
      </w:r>
    </w:p>
    <w:p>
      <w:pPr>
        <w:spacing w:line="380" w:lineRule="exact"/>
        <w:ind w:left="480" w:firstLine="480" w:firstLineChars="200"/>
        <w:rPr>
          <w:sz w:val="24"/>
        </w:rPr>
      </w:pPr>
      <w:r>
        <w:rPr>
          <w:sz w:val="24"/>
        </w:rPr>
        <w:t>与本次招标有关的一切正式往来通讯请寄：</w:t>
      </w:r>
    </w:p>
    <w:p>
      <w:pPr>
        <w:spacing w:line="380" w:lineRule="exact"/>
        <w:ind w:left="480" w:firstLine="843"/>
        <w:rPr>
          <w:sz w:val="24"/>
          <w:lang w:val="mn-MN"/>
        </w:rPr>
      </w:pPr>
      <w:r>
        <w:rPr>
          <w:sz w:val="24"/>
          <w:cs/>
          <w:lang w:val="mn-MN"/>
        </w:rPr>
        <w:t>Хаяг:</w:t>
      </w:r>
    </w:p>
    <w:p>
      <w:pPr>
        <w:spacing w:line="380" w:lineRule="exact"/>
        <w:ind w:left="480" w:firstLine="964"/>
        <w:rPr>
          <w:sz w:val="24"/>
        </w:rPr>
      </w:pPr>
      <w:r>
        <w:rPr>
          <w:sz w:val="24"/>
        </w:rPr>
        <w:t>地址：</w:t>
      </w:r>
    </w:p>
    <w:p>
      <w:pPr>
        <w:spacing w:line="380" w:lineRule="exact"/>
        <w:ind w:left="480" w:firstLine="843"/>
        <w:rPr>
          <w:sz w:val="24"/>
          <w:lang w:val="mn-MN"/>
        </w:rPr>
      </w:pPr>
      <w:r>
        <w:rPr>
          <w:sz w:val="24"/>
          <w:cs/>
          <w:lang w:val="mn-MN"/>
        </w:rPr>
        <w:t>Утас:             Гар утас:</w:t>
      </w:r>
    </w:p>
    <w:p>
      <w:pPr>
        <w:spacing w:line="380" w:lineRule="exact"/>
        <w:ind w:left="480" w:firstLine="964"/>
        <w:rPr>
          <w:sz w:val="24"/>
        </w:rPr>
      </w:pPr>
      <w:r>
        <w:rPr>
          <w:sz w:val="24"/>
        </w:rPr>
        <w:t>电话：手机：</w:t>
      </w:r>
    </w:p>
    <w:p>
      <w:pPr>
        <w:spacing w:line="380" w:lineRule="exact"/>
        <w:ind w:left="480" w:firstLine="843"/>
        <w:rPr>
          <w:sz w:val="24"/>
          <w:lang w:val="mn-MN"/>
        </w:rPr>
      </w:pPr>
      <w:r>
        <w:rPr>
          <w:sz w:val="24"/>
          <w:cs/>
          <w:lang w:val="mn-MN"/>
        </w:rPr>
        <w:t xml:space="preserve">Факс:     Шуудангийн дугаар: </w:t>
      </w:r>
    </w:p>
    <w:p>
      <w:pPr>
        <w:spacing w:line="380" w:lineRule="exact"/>
        <w:ind w:left="480" w:firstLine="964"/>
        <w:rPr>
          <w:sz w:val="24"/>
        </w:rPr>
      </w:pPr>
      <w:r>
        <w:rPr>
          <w:sz w:val="24"/>
        </w:rPr>
        <w:t>传真： 邮编</w:t>
      </w:r>
      <w:r>
        <w:rPr>
          <w:sz w:val="24"/>
          <w:u w:val="single"/>
        </w:rPr>
        <w:t xml:space="preserve">：                   </w:t>
      </w:r>
    </w:p>
    <w:p>
      <w:pPr>
        <w:spacing w:line="380" w:lineRule="exact"/>
        <w:ind w:left="480" w:firstLine="843"/>
        <w:rPr>
          <w:sz w:val="24"/>
          <w:lang w:val="mn-MN"/>
        </w:rPr>
      </w:pPr>
      <w:r>
        <w:rPr>
          <w:sz w:val="24"/>
          <w:cs/>
          <w:lang w:val="mn-MN"/>
        </w:rPr>
        <w:t>Тендэрт оролцогчийн итгэмжилсэн төлөөлөгчийн гарын үсэг:</w:t>
      </w:r>
    </w:p>
    <w:p>
      <w:pPr>
        <w:spacing w:line="380" w:lineRule="exact"/>
        <w:ind w:left="480" w:firstLine="964"/>
        <w:rPr>
          <w:sz w:val="24"/>
        </w:rPr>
      </w:pPr>
      <w:r>
        <w:rPr>
          <w:sz w:val="24"/>
        </w:rPr>
        <w:t>投标人全权代表签字：</w:t>
      </w:r>
    </w:p>
    <w:p>
      <w:pPr>
        <w:spacing w:line="380" w:lineRule="exact"/>
        <w:ind w:left="480" w:firstLine="843"/>
        <w:rPr>
          <w:sz w:val="24"/>
          <w:lang w:val="mn-MN"/>
        </w:rPr>
      </w:pPr>
      <w:r>
        <w:rPr>
          <w:sz w:val="24"/>
          <w:cs/>
          <w:lang w:val="mn-MN"/>
        </w:rPr>
        <w:t xml:space="preserve">Итгэмжилсэн төлөөлөгчийн Овог нэр, албан тушаал </w:t>
      </w:r>
      <w:r>
        <w:rPr>
          <w:sz w:val="24"/>
          <w:lang w:val="en-GB"/>
        </w:rPr>
        <w:t>(</w:t>
      </w:r>
      <w:r>
        <w:rPr>
          <w:sz w:val="24"/>
          <w:cs/>
          <w:lang w:val="mn-MN"/>
        </w:rPr>
        <w:t>хэвлэх</w:t>
      </w:r>
      <w:r>
        <w:rPr>
          <w:sz w:val="24"/>
          <w:lang w:val="en-GB"/>
        </w:rPr>
        <w:t>)</w:t>
      </w:r>
      <w:r>
        <w:rPr>
          <w:sz w:val="24"/>
          <w:cs/>
          <w:lang w:val="mn-MN"/>
        </w:rPr>
        <w:t>:</w:t>
      </w:r>
    </w:p>
    <w:p>
      <w:pPr>
        <w:spacing w:line="380" w:lineRule="exact"/>
        <w:ind w:left="480" w:firstLine="964"/>
        <w:rPr>
          <w:sz w:val="24"/>
          <w:u w:val="single"/>
        </w:rPr>
      </w:pPr>
      <w:r>
        <w:rPr>
          <w:sz w:val="24"/>
        </w:rPr>
        <w:t>全权代表姓名、职务（印刷体）：</w:t>
      </w:r>
    </w:p>
    <w:p>
      <w:pPr>
        <w:spacing w:line="380" w:lineRule="exact"/>
        <w:ind w:left="480" w:firstLine="843"/>
        <w:rPr>
          <w:sz w:val="24"/>
        </w:rPr>
      </w:pPr>
      <w:r>
        <w:rPr>
          <w:sz w:val="24"/>
          <w:cs/>
          <w:lang w:val="mn-MN"/>
        </w:rPr>
        <w:t xml:space="preserve">Тендэрт оролцогчийн нэр </w:t>
      </w:r>
      <w:r>
        <w:rPr>
          <w:sz w:val="24"/>
          <w:lang w:val="en-GB"/>
        </w:rPr>
        <w:t>(</w:t>
      </w:r>
      <w:r>
        <w:rPr>
          <w:sz w:val="24"/>
          <w:cs/>
          <w:lang w:val="mn-MN"/>
        </w:rPr>
        <w:t>тамга</w:t>
      </w:r>
      <w:r>
        <w:rPr>
          <w:sz w:val="24"/>
          <w:lang w:val="en-GB"/>
        </w:rPr>
        <w:t>)</w:t>
      </w:r>
      <w:r>
        <w:rPr>
          <w:sz w:val="24"/>
          <w:cs/>
          <w:lang w:val="mn-MN"/>
        </w:rPr>
        <w:t>:</w:t>
      </w:r>
    </w:p>
    <w:p>
      <w:pPr>
        <w:spacing w:line="380" w:lineRule="exact"/>
        <w:ind w:left="480" w:firstLine="964"/>
        <w:rPr>
          <w:sz w:val="24"/>
          <w:u w:val="single"/>
        </w:rPr>
      </w:pPr>
      <w:r>
        <w:rPr>
          <w:sz w:val="24"/>
        </w:rPr>
        <w:t>投标人名称（公章）：</w:t>
      </w:r>
    </w:p>
    <w:p>
      <w:pPr>
        <w:pStyle w:val="5"/>
        <w:ind w:left="480" w:firstLine="960"/>
        <w:rPr>
          <w:sz w:val="24"/>
          <w:szCs w:val="24"/>
          <w:lang w:val="mn-MN"/>
        </w:rPr>
      </w:pPr>
      <w:bookmarkStart w:id="123" w:name="_Toc25217"/>
      <w:bookmarkStart w:id="124" w:name="_Toc183017277"/>
      <w:bookmarkStart w:id="125" w:name="_Toc461108862"/>
      <w:r>
        <w:rPr>
          <w:sz w:val="24"/>
          <w:szCs w:val="24"/>
          <w:cs/>
          <w:lang w:val="mn-MN"/>
        </w:rPr>
        <w:t>Хавсралт1-3 Хууль ёсны төлөөлөгчийн итгэмжлэл</w:t>
      </w:r>
    </w:p>
    <w:p>
      <w:pPr>
        <w:pStyle w:val="5"/>
        <w:ind w:left="480" w:firstLine="960"/>
        <w:rPr>
          <w:sz w:val="24"/>
          <w:szCs w:val="24"/>
        </w:rPr>
      </w:pPr>
      <w:r>
        <w:rPr>
          <w:sz w:val="24"/>
          <w:szCs w:val="24"/>
        </w:rPr>
        <w:t>附件1-3法定代表人授权书</w:t>
      </w:r>
      <w:bookmarkEnd w:id="123"/>
      <w:bookmarkEnd w:id="124"/>
      <w:bookmarkEnd w:id="125"/>
    </w:p>
    <w:p>
      <w:pPr>
        <w:ind w:left="480"/>
        <w:rPr>
          <w:sz w:val="24"/>
          <w:lang w:val="mn-MN"/>
        </w:rPr>
      </w:pPr>
      <w:r>
        <w:rPr>
          <w:sz w:val="24"/>
          <w:cs/>
          <w:lang w:val="mn-MN"/>
        </w:rPr>
        <w:t xml:space="preserve">                                             Хууль  ёсны төлөөллөгчийг итгэмжлэл</w:t>
      </w:r>
    </w:p>
    <w:p>
      <w:pPr>
        <w:ind w:left="480" w:firstLine="960"/>
        <w:rPr>
          <w:b/>
          <w:sz w:val="24"/>
        </w:rPr>
      </w:pPr>
      <w:r>
        <w:rPr>
          <w:b/>
          <w:sz w:val="24"/>
        </w:rPr>
        <w:t>法定代表人授权书</w:t>
      </w:r>
    </w:p>
    <w:p>
      <w:pPr>
        <w:spacing w:line="400" w:lineRule="exact"/>
        <w:ind w:left="480" w:firstLine="960"/>
        <w:rPr>
          <w:b/>
          <w:sz w:val="24"/>
          <w:lang w:val="mn-MN"/>
        </w:rPr>
      </w:pPr>
      <w:r>
        <w:rPr>
          <w:b/>
          <w:sz w:val="24"/>
          <w:lang w:val="en-GB"/>
        </w:rPr>
        <w:t>(</w:t>
      </w:r>
      <w:r>
        <w:rPr>
          <w:b/>
          <w:sz w:val="24"/>
          <w:cs/>
          <w:lang w:val="mn-MN"/>
        </w:rPr>
        <w:t>Тендэрт оролцогчийн бүтэн нэр</w:t>
      </w:r>
      <w:r>
        <w:rPr>
          <w:b/>
          <w:sz w:val="24"/>
          <w:lang w:val="en-GB"/>
        </w:rPr>
        <w:t>)</w:t>
      </w:r>
      <w:r>
        <w:rPr>
          <w:b/>
          <w:sz w:val="24"/>
          <w:cs/>
          <w:lang w:val="mn-MN"/>
        </w:rPr>
        <w:t xml:space="preserve"> Хууль ёсны төлөөлөгч</w:t>
      </w:r>
    </w:p>
    <w:p>
      <w:pPr>
        <w:spacing w:line="360" w:lineRule="auto"/>
        <w:ind w:left="480" w:firstLine="964"/>
        <w:rPr>
          <w:sz w:val="24"/>
        </w:rPr>
      </w:pPr>
      <w:r>
        <w:rPr>
          <w:sz w:val="24"/>
        </w:rPr>
        <w:t>（投标人全称）法定代表人</w:t>
      </w:r>
    </w:p>
    <w:p>
      <w:pPr>
        <w:spacing w:line="360" w:lineRule="auto"/>
        <w:ind w:left="480" w:firstLine="964"/>
        <w:rPr>
          <w:sz w:val="24"/>
          <w:lang w:val="mn-MN"/>
        </w:rPr>
      </w:pPr>
      <w:r>
        <w:rPr>
          <w:sz w:val="24"/>
          <w:lang w:val="en-GB"/>
        </w:rPr>
        <w:t>(</w:t>
      </w:r>
      <w:r>
        <w:rPr>
          <w:sz w:val="24"/>
          <w:cs/>
          <w:lang w:val="mn-MN"/>
        </w:rPr>
        <w:t>Овог нэр, албан тушаал</w:t>
      </w:r>
      <w:r>
        <w:rPr>
          <w:sz w:val="24"/>
          <w:lang w:val="en-GB"/>
        </w:rPr>
        <w:t>)</w:t>
      </w:r>
      <w:r>
        <w:rPr>
          <w:sz w:val="24"/>
          <w:cs/>
          <w:lang w:val="mn-MN"/>
        </w:rPr>
        <w:t xml:space="preserve"> </w:t>
      </w:r>
      <w:r>
        <w:rPr>
          <w:sz w:val="24"/>
          <w:lang w:val="en-GB"/>
        </w:rPr>
        <w:t>(</w:t>
      </w:r>
      <w:r>
        <w:rPr>
          <w:sz w:val="24"/>
          <w:cs/>
          <w:lang w:val="mn-MN"/>
        </w:rPr>
        <w:t>Итгэмжилсэн төлөөлөгчийн овог нэр, албан тушаал</w:t>
      </w:r>
      <w:r>
        <w:rPr>
          <w:sz w:val="24"/>
          <w:lang w:val="en-GB"/>
        </w:rPr>
        <w:t>)</w:t>
      </w:r>
      <w:r>
        <w:rPr>
          <w:sz w:val="24"/>
          <w:cs/>
          <w:lang w:val="mn-MN"/>
        </w:rPr>
        <w:t xml:space="preserve"> бүрэн эрхт төлөөлөгчөөр итгэмжилж байна. Танай компанийн зохион байгуулж буй Шинь Шинь ХХК-ний баяжмал тээвэрийн тендэрт </w:t>
      </w:r>
      <w:r>
        <w:rPr>
          <w:sz w:val="24"/>
        </w:rPr>
        <w:t>（</w:t>
      </w:r>
      <w:r>
        <w:rPr>
          <w:sz w:val="24"/>
          <w:cs/>
          <w:lang w:val="mn-MN"/>
        </w:rPr>
        <w:t>тендэрийн дугаар</w:t>
      </w:r>
      <w:r>
        <w:rPr>
          <w:sz w:val="24"/>
        </w:rPr>
        <w:t>：</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2</w:t>
      </w:r>
      <w:r>
        <w:rPr>
          <w:sz w:val="24"/>
        </w:rPr>
        <w:t>)</w:t>
      </w:r>
      <w:r>
        <w:rPr>
          <w:sz w:val="24"/>
          <w:cs/>
          <w:lang w:val="mn-MN"/>
        </w:rPr>
        <w:t xml:space="preserve"> оролцоход манай байгууллагын бүрэн төлөөлж тендэрийн явцад аливаа асуудлыг шийдвэрлэнэ. </w:t>
      </w:r>
    </w:p>
    <w:p>
      <w:pPr>
        <w:spacing w:line="360" w:lineRule="auto"/>
        <w:ind w:left="480" w:firstLine="964"/>
        <w:rPr>
          <w:sz w:val="24"/>
        </w:rPr>
      </w:pPr>
      <w:r>
        <w:rPr>
          <w:sz w:val="24"/>
        </w:rPr>
        <w:t>（姓名、职务）授权（全权代表姓名、职务）为全权代表，参加贵公司组织的</w:t>
      </w:r>
      <w:r>
        <w:rPr>
          <w:sz w:val="24"/>
          <w:u w:val="single"/>
        </w:rPr>
        <w:t>新鑫有限责任公司</w:t>
      </w:r>
      <w:r>
        <w:rPr>
          <w:rFonts w:hint="eastAsia"/>
          <w:sz w:val="24"/>
          <w:u w:val="single"/>
        </w:rPr>
        <w:t>精矿粉</w:t>
      </w:r>
      <w:r>
        <w:rPr>
          <w:sz w:val="24"/>
          <w:u w:val="single"/>
        </w:rPr>
        <w:t>汽车运输</w:t>
      </w:r>
      <w:r>
        <w:rPr>
          <w:sz w:val="24"/>
        </w:rPr>
        <w:t>招标（招标编号：</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2</w:t>
      </w:r>
      <w:r>
        <w:rPr>
          <w:sz w:val="24"/>
        </w:rPr>
        <w:t>)，并全权代表我单位处理招标过程中的一切事宜。</w:t>
      </w:r>
    </w:p>
    <w:p>
      <w:pPr>
        <w:spacing w:line="360" w:lineRule="auto"/>
        <w:ind w:left="480" w:firstLine="843"/>
        <w:rPr>
          <w:sz w:val="24"/>
          <w:lang w:val="mn-MN"/>
        </w:rPr>
      </w:pPr>
      <w:r>
        <w:rPr>
          <w:sz w:val="24"/>
          <w:cs/>
          <w:lang w:val="mn-MN"/>
        </w:rPr>
        <w:t>Хууль ёсны төлөөлөгчийн гарын үсэг:</w:t>
      </w:r>
    </w:p>
    <w:p>
      <w:pPr>
        <w:spacing w:line="360" w:lineRule="auto"/>
        <w:ind w:left="480" w:firstLine="964"/>
        <w:rPr>
          <w:sz w:val="24"/>
        </w:rPr>
      </w:pPr>
      <w:r>
        <w:rPr>
          <w:sz w:val="24"/>
        </w:rPr>
        <w:t>法定代表人签字：</w:t>
      </w:r>
    </w:p>
    <w:p>
      <w:pPr>
        <w:spacing w:line="360" w:lineRule="auto"/>
        <w:ind w:left="480" w:firstLine="843"/>
        <w:rPr>
          <w:sz w:val="24"/>
          <w:lang w:val="mn-MN"/>
        </w:rPr>
      </w:pPr>
      <w:r>
        <w:rPr>
          <w:sz w:val="24"/>
          <w:cs/>
          <w:lang w:val="mn-MN"/>
        </w:rPr>
        <w:t xml:space="preserve">Хууль ёсны төлөөлөгчийн овог нэр, албан тушаал </w:t>
      </w:r>
      <w:r>
        <w:rPr>
          <w:sz w:val="24"/>
          <w:lang w:val="en-GB"/>
        </w:rPr>
        <w:t>(</w:t>
      </w:r>
      <w:r>
        <w:rPr>
          <w:sz w:val="24"/>
          <w:cs/>
          <w:lang w:val="mn-MN"/>
        </w:rPr>
        <w:t>хэвлэх</w:t>
      </w:r>
      <w:r>
        <w:rPr>
          <w:sz w:val="24"/>
          <w:lang w:val="en-GB"/>
        </w:rPr>
        <w:t>)</w:t>
      </w:r>
    </w:p>
    <w:p>
      <w:pPr>
        <w:spacing w:line="360" w:lineRule="auto"/>
        <w:ind w:left="480" w:firstLine="964"/>
        <w:rPr>
          <w:sz w:val="24"/>
        </w:rPr>
      </w:pPr>
      <w:r>
        <w:rPr>
          <w:sz w:val="24"/>
        </w:rPr>
        <w:t>法定代表人姓名、职务（印刷体）：</w:t>
      </w:r>
    </w:p>
    <w:p>
      <w:pPr>
        <w:spacing w:line="360" w:lineRule="auto"/>
        <w:ind w:left="480" w:firstLine="843"/>
        <w:rPr>
          <w:sz w:val="24"/>
          <w:lang w:val="mn-MN"/>
        </w:rPr>
      </w:pPr>
      <w:r>
        <w:rPr>
          <w:sz w:val="24"/>
          <w:cs/>
          <w:lang w:val="mn-MN"/>
        </w:rPr>
        <w:t>Тендэрт оролцогчийн бүтэн нэр:</w:t>
      </w:r>
    </w:p>
    <w:p>
      <w:pPr>
        <w:spacing w:line="360" w:lineRule="auto"/>
        <w:ind w:left="480" w:firstLine="964"/>
        <w:rPr>
          <w:sz w:val="24"/>
        </w:rPr>
      </w:pPr>
      <w:r>
        <w:rPr>
          <w:sz w:val="24"/>
        </w:rPr>
        <w:t>投标人全称：</w:t>
      </w:r>
    </w:p>
    <w:p>
      <w:pPr>
        <w:spacing w:line="360" w:lineRule="auto"/>
        <w:ind w:left="480" w:firstLine="843"/>
        <w:rPr>
          <w:sz w:val="24"/>
          <w:lang w:val="mn-MN"/>
        </w:rPr>
      </w:pPr>
      <w:r>
        <w:rPr>
          <w:sz w:val="24"/>
          <w:cs/>
          <w:lang w:val="mn-MN"/>
        </w:rPr>
        <w:t xml:space="preserve">                                                        </w:t>
      </w:r>
      <w:r>
        <w:rPr>
          <w:sz w:val="24"/>
          <w:lang w:val="en-GB"/>
        </w:rPr>
        <w:t>(</w:t>
      </w:r>
      <w:r>
        <w:rPr>
          <w:sz w:val="24"/>
          <w:cs/>
          <w:lang w:val="mn-MN"/>
        </w:rPr>
        <w:t>тамга</w:t>
      </w:r>
      <w:r>
        <w:rPr>
          <w:sz w:val="24"/>
          <w:lang w:val="en-GB"/>
        </w:rPr>
        <w:t>)</w:t>
      </w:r>
    </w:p>
    <w:p>
      <w:pPr>
        <w:spacing w:line="360" w:lineRule="auto"/>
        <w:ind w:left="480" w:firstLine="964"/>
        <w:rPr>
          <w:sz w:val="24"/>
        </w:rPr>
      </w:pPr>
      <w:r>
        <w:rPr>
          <w:sz w:val="24"/>
        </w:rPr>
        <w:t xml:space="preserve">                           （公章）</w:t>
      </w:r>
    </w:p>
    <w:p>
      <w:pPr>
        <w:tabs>
          <w:tab w:val="left" w:pos="4680"/>
        </w:tabs>
        <w:spacing w:line="360" w:lineRule="auto"/>
        <w:ind w:left="480" w:firstLine="843"/>
        <w:rPr>
          <w:sz w:val="24"/>
          <w:lang w:val="mn-MN"/>
        </w:rPr>
      </w:pPr>
      <w:r>
        <w:rPr>
          <w:sz w:val="24"/>
          <w:cs/>
          <w:lang w:val="mn-MN"/>
        </w:rPr>
        <w:t>Тендэрт оролцогчийн итгэмжилсэн төлөөлөгчийн мэдээлэл:</w:t>
      </w:r>
    </w:p>
    <w:p>
      <w:pPr>
        <w:tabs>
          <w:tab w:val="left" w:pos="4680"/>
        </w:tabs>
        <w:spacing w:line="400" w:lineRule="exact"/>
        <w:ind w:left="480" w:firstLine="960"/>
        <w:rPr>
          <w:b/>
          <w:sz w:val="24"/>
        </w:rPr>
      </w:pPr>
      <w:r>
        <w:rPr>
          <w:b/>
          <w:sz w:val="24"/>
        </w:rPr>
        <w:t>投标人全权代表情况：</w:t>
      </w:r>
    </w:p>
    <w:p>
      <w:pPr>
        <w:tabs>
          <w:tab w:val="left" w:pos="4680"/>
        </w:tabs>
        <w:spacing w:line="400" w:lineRule="exact"/>
        <w:ind w:left="480" w:firstLine="843"/>
        <w:rPr>
          <w:b/>
          <w:sz w:val="24"/>
          <w:lang w:val="mn-MN"/>
        </w:rPr>
      </w:pPr>
      <w:r>
        <w:rPr>
          <w:b/>
          <w:sz w:val="24"/>
          <w:cs/>
          <w:lang w:val="mn-MN"/>
        </w:rPr>
        <w:t>Овог нэр:                                                           Албан тушаал:</w:t>
      </w:r>
    </w:p>
    <w:p>
      <w:pPr>
        <w:spacing w:line="500" w:lineRule="exact"/>
        <w:ind w:left="480" w:firstLine="964"/>
        <w:rPr>
          <w:sz w:val="24"/>
        </w:rPr>
      </w:pPr>
      <w:r>
        <w:rPr>
          <w:sz w:val="24"/>
        </w:rPr>
        <w:t>姓名：                                 职务：</w:t>
      </w:r>
    </w:p>
    <w:p>
      <w:pPr>
        <w:spacing w:line="500" w:lineRule="exact"/>
        <w:ind w:left="480" w:firstLine="964"/>
        <w:rPr>
          <w:sz w:val="24"/>
        </w:rPr>
      </w:pPr>
    </w:p>
    <w:p>
      <w:pPr>
        <w:spacing w:line="500" w:lineRule="exact"/>
        <w:ind w:left="480" w:firstLine="843"/>
        <w:rPr>
          <w:sz w:val="24"/>
          <w:lang w:val="mn-MN"/>
        </w:rPr>
      </w:pPr>
      <w:r>
        <w:rPr>
          <w:sz w:val="24"/>
          <w:cs/>
          <w:lang w:val="mn-MN"/>
        </w:rPr>
        <w:t xml:space="preserve">Тодорхой хаяг: </w:t>
      </w:r>
    </w:p>
    <w:p>
      <w:pPr>
        <w:spacing w:line="500" w:lineRule="exact"/>
        <w:ind w:left="480" w:firstLine="964"/>
        <w:rPr>
          <w:sz w:val="24"/>
        </w:rPr>
      </w:pPr>
      <w:r>
        <w:rPr>
          <w:sz w:val="24"/>
        </w:rPr>
        <w:t>详细通讯地址：</w:t>
      </w:r>
    </w:p>
    <w:p>
      <w:pPr>
        <w:spacing w:line="500" w:lineRule="exact"/>
        <w:ind w:left="480" w:firstLine="843"/>
        <w:rPr>
          <w:sz w:val="24"/>
          <w:lang w:val="mn-MN"/>
        </w:rPr>
      </w:pPr>
      <w:r>
        <w:rPr>
          <w:sz w:val="24"/>
          <w:cs/>
          <w:lang w:val="mn-MN"/>
        </w:rPr>
        <w:t>Шуудангийн код:                                              факс:</w:t>
      </w:r>
    </w:p>
    <w:p>
      <w:pPr>
        <w:spacing w:line="500" w:lineRule="exact"/>
        <w:ind w:left="480" w:firstLine="964"/>
        <w:rPr>
          <w:sz w:val="24"/>
        </w:rPr>
      </w:pPr>
      <w:r>
        <w:rPr>
          <w:sz w:val="24"/>
        </w:rPr>
        <w:t>邮政编码：                            传  真：</w:t>
      </w:r>
    </w:p>
    <w:p>
      <w:pPr>
        <w:spacing w:line="500" w:lineRule="exact"/>
        <w:ind w:left="480" w:firstLine="843"/>
        <w:rPr>
          <w:sz w:val="24"/>
          <w:lang w:val="mn-MN"/>
        </w:rPr>
      </w:pPr>
      <w:r>
        <w:rPr>
          <w:sz w:val="24"/>
          <w:cs/>
          <w:lang w:val="mn-MN"/>
        </w:rPr>
        <w:t>Утас:                                                                   Гар утас:</w:t>
      </w:r>
    </w:p>
    <w:p>
      <w:pPr>
        <w:spacing w:line="500" w:lineRule="exact"/>
        <w:ind w:left="480" w:firstLine="964"/>
        <w:rPr>
          <w:sz w:val="24"/>
        </w:rPr>
      </w:pPr>
      <w:r>
        <w:rPr>
          <w:sz w:val="24"/>
        </w:rPr>
        <w:t>电    话：                            手  机：</w:t>
      </w:r>
    </w:p>
    <w:p>
      <w:pPr>
        <w:spacing w:line="500" w:lineRule="exact"/>
        <w:ind w:left="480" w:firstLine="843"/>
        <w:rPr>
          <w:sz w:val="24"/>
          <w:lang w:val="mn-MN"/>
        </w:rPr>
      </w:pPr>
      <w:r>
        <w:rPr>
          <w:sz w:val="24"/>
          <w:cs/>
          <w:lang w:val="mn-MN"/>
        </w:rPr>
        <w:t>Тайлбар: Энэхүү итгэмжилэлтэй хамт хууль ёсны төлөөлөгчийн итгэмжлэл болон иргэний үнэмлэхийн хуулбар, хууль ёсны төлөөлөгчийн итгэмжилсэн хүний иргэний үнэмлэхийн хуулбарыг хавсаргах</w:t>
      </w:r>
    </w:p>
    <w:p>
      <w:pPr>
        <w:spacing w:line="500" w:lineRule="exact"/>
        <w:ind w:left="480" w:firstLine="960"/>
        <w:rPr>
          <w:b/>
          <w:sz w:val="24"/>
        </w:rPr>
      </w:pPr>
      <w:r>
        <w:rPr>
          <w:b/>
          <w:sz w:val="24"/>
        </w:rPr>
        <w:t>备注：随本授权书请同时提供法定代表人证明及身份证复印件、法定代表人委托人身份证复印件。</w:t>
      </w:r>
    </w:p>
    <w:p>
      <w:pPr>
        <w:pStyle w:val="5"/>
        <w:ind w:left="480" w:firstLine="964"/>
        <w:rPr>
          <w:b w:val="0"/>
          <w:sz w:val="24"/>
          <w:szCs w:val="24"/>
        </w:rPr>
        <w:sectPr>
          <w:pgSz w:w="11906" w:h="16838"/>
          <w:pgMar w:top="1418" w:right="1418" w:bottom="1418" w:left="1418" w:header="850" w:footer="850" w:gutter="0"/>
          <w:cols w:space="720" w:num="1"/>
          <w:docGrid w:linePitch="312" w:charSpace="0"/>
        </w:sectPr>
      </w:pPr>
    </w:p>
    <w:p>
      <w:pPr>
        <w:pStyle w:val="5"/>
        <w:ind w:left="480" w:firstLine="960"/>
        <w:rPr>
          <w:sz w:val="24"/>
          <w:szCs w:val="24"/>
          <w:lang w:val="mn-MN"/>
        </w:rPr>
      </w:pPr>
      <w:bookmarkStart w:id="126" w:name="_Toc461108863"/>
      <w:bookmarkStart w:id="127" w:name="_Toc183017278"/>
      <w:bookmarkStart w:id="128" w:name="_Toc19309"/>
      <w:r>
        <w:rPr>
          <w:sz w:val="24"/>
          <w:szCs w:val="24"/>
          <w:cs/>
          <w:lang w:val="mn-MN"/>
        </w:rPr>
        <w:t>Хавсралт1-4 Үнийн саналын хуудас</w:t>
      </w:r>
    </w:p>
    <w:p>
      <w:pPr>
        <w:pStyle w:val="5"/>
        <w:ind w:left="480" w:firstLine="960"/>
        <w:rPr>
          <w:sz w:val="24"/>
          <w:szCs w:val="24"/>
        </w:rPr>
      </w:pPr>
      <w:r>
        <w:rPr>
          <w:sz w:val="24"/>
          <w:szCs w:val="24"/>
        </w:rPr>
        <w:t>附件1-4 开标一览表</w:t>
      </w:r>
      <w:bookmarkEnd w:id="126"/>
      <w:bookmarkEnd w:id="127"/>
      <w:bookmarkEnd w:id="128"/>
    </w:p>
    <w:p>
      <w:pPr>
        <w:ind w:left="480"/>
        <w:rPr>
          <w:sz w:val="24"/>
          <w:lang w:val="mn-MN"/>
        </w:rPr>
      </w:pPr>
      <w:r>
        <w:rPr>
          <w:sz w:val="24"/>
          <w:cs/>
          <w:lang w:val="mn-MN"/>
        </w:rPr>
        <w:t xml:space="preserve">                                                      </w:t>
      </w:r>
      <w:r>
        <w:rPr>
          <w:sz w:val="24"/>
        </w:rPr>
        <w:t xml:space="preserve"> </w:t>
      </w:r>
      <w:r>
        <w:rPr>
          <w:sz w:val="24"/>
          <w:cs/>
          <w:lang w:val="mn-MN"/>
        </w:rPr>
        <w:t>Үнийн саналын хуудас</w:t>
      </w:r>
    </w:p>
    <w:p>
      <w:pPr>
        <w:ind w:left="480" w:firstLine="960"/>
        <w:rPr>
          <w:b/>
          <w:sz w:val="24"/>
        </w:rPr>
      </w:pPr>
      <w:r>
        <w:rPr>
          <w:b/>
          <w:sz w:val="24"/>
        </w:rPr>
        <w:t>开标一览表</w:t>
      </w:r>
    </w:p>
    <w:p>
      <w:pPr>
        <w:ind w:left="480"/>
        <w:rPr>
          <w:sz w:val="24"/>
          <w:lang w:val="mn-MN"/>
        </w:rPr>
      </w:pPr>
      <w:r>
        <w:rPr>
          <w:sz w:val="24"/>
          <w:cs/>
          <w:lang w:val="mn-MN"/>
        </w:rPr>
        <w:t>Тендэрийн дугаар:</w:t>
      </w:r>
      <w:r>
        <w:rPr>
          <w:rFonts w:hint="eastAsia" w:ascii="宋体" w:hAnsi="宋体"/>
          <w:b/>
          <w:sz w:val="44"/>
          <w:szCs w:val="44"/>
        </w:rPr>
        <w:t xml:space="preserve"> </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2</w:t>
      </w:r>
      <w:r>
        <w:rPr>
          <w:sz w:val="24"/>
        </w:rPr>
        <w:t xml:space="preserve"> </w:t>
      </w:r>
      <w:r>
        <w:rPr>
          <w:sz w:val="24"/>
          <w:cs/>
          <w:lang w:val="mn-MN"/>
        </w:rPr>
        <w:t xml:space="preserve">     Тендэрт оролцогчийн бүтэн нэр:  вальюын нэгж:  төгрөг</w:t>
      </w:r>
    </w:p>
    <w:p>
      <w:pPr>
        <w:spacing w:line="312" w:lineRule="auto"/>
        <w:ind w:left="480" w:firstLine="964"/>
        <w:rPr>
          <w:sz w:val="24"/>
        </w:rPr>
      </w:pPr>
      <w:r>
        <w:rPr>
          <w:sz w:val="24"/>
        </w:rPr>
        <w:t>招标编号：</w:t>
      </w:r>
      <w:r>
        <w:rPr>
          <w:rFonts w:hint="eastAsia"/>
          <w:b/>
          <w:sz w:val="24"/>
        </w:rPr>
        <w:t>XX</w:t>
      </w:r>
      <w:r>
        <w:rPr>
          <w:b/>
          <w:sz w:val="24"/>
        </w:rPr>
        <w:t>QD</w:t>
      </w:r>
      <w:r>
        <w:rPr>
          <w:rFonts w:hint="eastAsia"/>
          <w:b/>
          <w:sz w:val="24"/>
        </w:rPr>
        <w:t>YS-202</w:t>
      </w:r>
      <w:r>
        <w:rPr>
          <w:rFonts w:hint="eastAsia"/>
          <w:b/>
          <w:sz w:val="24"/>
          <w:lang w:val="en-US" w:eastAsia="zh-CN"/>
        </w:rPr>
        <w:t>6</w:t>
      </w:r>
      <w:r>
        <w:rPr>
          <w:rFonts w:hint="eastAsia"/>
          <w:b/>
          <w:sz w:val="24"/>
        </w:rPr>
        <w:t>00</w:t>
      </w:r>
      <w:r>
        <w:rPr>
          <w:rFonts w:hint="eastAsia"/>
          <w:b/>
          <w:sz w:val="24"/>
          <w:lang w:val="en-US" w:eastAsia="zh-CN"/>
        </w:rPr>
        <w:t>2</w:t>
      </w:r>
      <w:r>
        <w:rPr>
          <w:sz w:val="24"/>
        </w:rPr>
        <w:t xml:space="preserve">           投标人全称：                    </w:t>
      </w:r>
      <w:r>
        <w:rPr>
          <w:rFonts w:hint="eastAsia"/>
          <w:sz w:val="24"/>
        </w:rPr>
        <w:t xml:space="preserve"> </w:t>
      </w:r>
      <w:r>
        <w:rPr>
          <w:sz w:val="24"/>
        </w:rPr>
        <w:t>币别单位：  蒙图</w:t>
      </w:r>
    </w:p>
    <w:tbl>
      <w:tblPr>
        <w:tblStyle w:val="8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362"/>
        <w:gridCol w:w="2821"/>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3" w:hRule="atLeast"/>
        </w:trPr>
        <w:tc>
          <w:tcPr>
            <w:tcW w:w="2192" w:type="dxa"/>
            <w:vAlign w:val="center"/>
          </w:tcPr>
          <w:p>
            <w:pPr>
              <w:pStyle w:val="280"/>
              <w:keepNext w:val="0"/>
              <w:keepLines w:val="0"/>
              <w:suppressLineNumbers w:val="0"/>
              <w:ind w:left="0" w:right="0" w:firstLine="964"/>
              <w:jc w:val="center"/>
              <w:rPr>
                <w:rFonts w:hint="default" w:ascii="Times New Roman" w:hAnsi="Times New Roman" w:cs="Times New Roman"/>
                <w:szCs w:val="24"/>
                <w:cs/>
                <w:lang w:val="mn-MN"/>
              </w:rPr>
            </w:pPr>
            <w:r>
              <w:rPr>
                <w:rFonts w:hint="default" w:ascii="Times New Roman" w:hAnsi="Times New Roman" w:cs="Times New Roman"/>
                <w:szCs w:val="24"/>
                <w:cs/>
                <w:lang w:val="mn-MN"/>
              </w:rPr>
              <w:t>Тендэрийн бараа</w:t>
            </w:r>
          </w:p>
          <w:p>
            <w:pPr>
              <w:pStyle w:val="280"/>
              <w:keepNext w:val="0"/>
              <w:keepLines w:val="0"/>
              <w:suppressLineNumbers w:val="0"/>
              <w:ind w:left="0" w:right="0" w:firstLine="964"/>
              <w:jc w:val="center"/>
              <w:rPr>
                <w:rFonts w:hint="default" w:ascii="Times New Roman" w:hAnsi="Times New Roman" w:cs="Times New Roman"/>
                <w:szCs w:val="24"/>
              </w:rPr>
            </w:pPr>
            <w:r>
              <w:rPr>
                <w:rFonts w:hint="default" w:ascii="Times New Roman" w:hAnsi="Times New Roman" w:cs="Times New Roman"/>
                <w:szCs w:val="24"/>
              </w:rPr>
              <w:t>标的物</w:t>
            </w:r>
          </w:p>
        </w:tc>
        <w:tc>
          <w:tcPr>
            <w:tcW w:w="2778" w:type="dxa"/>
            <w:vAlign w:val="center"/>
          </w:tcPr>
          <w:p>
            <w:pPr>
              <w:pStyle w:val="280"/>
              <w:keepNext w:val="0"/>
              <w:keepLines w:val="0"/>
              <w:suppressLineNumbers w:val="0"/>
              <w:ind w:left="0" w:right="0" w:firstLine="964"/>
              <w:jc w:val="center"/>
              <w:rPr>
                <w:rFonts w:hint="default" w:ascii="Times New Roman" w:hAnsi="Times New Roman" w:cs="Times New Roman"/>
                <w:szCs w:val="24"/>
                <w:cs/>
                <w:lang w:val="mn-MN"/>
              </w:rPr>
            </w:pPr>
            <w:r>
              <w:rPr>
                <w:rFonts w:hint="default" w:ascii="Times New Roman" w:hAnsi="Times New Roman" w:cs="Times New Roman"/>
                <w:szCs w:val="24"/>
                <w:cs/>
                <w:lang w:val="mn-MN"/>
              </w:rPr>
              <w:t>Тээвэрлэлтийн маршрут</w:t>
            </w:r>
          </w:p>
          <w:p>
            <w:pPr>
              <w:pStyle w:val="280"/>
              <w:keepNext w:val="0"/>
              <w:keepLines w:val="0"/>
              <w:suppressLineNumbers w:val="0"/>
              <w:ind w:left="0" w:right="0" w:firstLine="964"/>
              <w:jc w:val="center"/>
              <w:rPr>
                <w:rFonts w:hint="default" w:ascii="Times New Roman" w:hAnsi="Times New Roman" w:cs="Times New Roman"/>
                <w:szCs w:val="24"/>
              </w:rPr>
            </w:pPr>
            <w:r>
              <w:rPr>
                <w:rFonts w:hint="default" w:ascii="Times New Roman" w:hAnsi="Times New Roman" w:cs="Times New Roman"/>
                <w:szCs w:val="24"/>
              </w:rPr>
              <w:t>运输线路</w:t>
            </w:r>
          </w:p>
        </w:tc>
        <w:tc>
          <w:tcPr>
            <w:tcW w:w="1857" w:type="dxa"/>
            <w:tcBorders>
              <w:right w:val="single" w:color="auto" w:sz="4" w:space="0"/>
            </w:tcBorders>
            <w:vAlign w:val="center"/>
          </w:tcPr>
          <w:p>
            <w:pPr>
              <w:pStyle w:val="280"/>
              <w:keepNext w:val="0"/>
              <w:keepLines w:val="0"/>
              <w:suppressLineNumbers w:val="0"/>
              <w:ind w:left="0" w:right="0" w:firstLine="964"/>
              <w:jc w:val="center"/>
              <w:rPr>
                <w:rFonts w:hint="default" w:ascii="Times New Roman" w:hAnsi="Times New Roman" w:cs="Times New Roman"/>
                <w:szCs w:val="24"/>
              </w:rPr>
            </w:pPr>
            <w:r>
              <w:rPr>
                <w:rFonts w:hint="default" w:ascii="Times New Roman" w:hAnsi="Times New Roman" w:cs="Times New Roman"/>
                <w:szCs w:val="24"/>
                <w:cs/>
                <w:lang w:val="mn-MN"/>
              </w:rPr>
              <w:t xml:space="preserve">Хэмжих нэгж                </w:t>
            </w:r>
            <w:r>
              <w:rPr>
                <w:rFonts w:hint="default" w:ascii="Times New Roman" w:hAnsi="Times New Roman" w:cs="Times New Roman"/>
                <w:szCs w:val="24"/>
              </w:rPr>
              <w:t>计量单位</w:t>
            </w:r>
          </w:p>
        </w:tc>
        <w:tc>
          <w:tcPr>
            <w:tcW w:w="2438" w:type="dxa"/>
            <w:tcBorders>
              <w:left w:val="single" w:color="auto" w:sz="4" w:space="0"/>
            </w:tcBorders>
            <w:vAlign w:val="center"/>
          </w:tcPr>
          <w:p>
            <w:pPr>
              <w:pStyle w:val="280"/>
              <w:keepNext w:val="0"/>
              <w:keepLines w:val="0"/>
              <w:suppressLineNumbers w:val="0"/>
              <w:ind w:left="0" w:right="0" w:firstLine="964"/>
              <w:jc w:val="center"/>
              <w:rPr>
                <w:rFonts w:hint="default" w:ascii="Times New Roman" w:hAnsi="Times New Roman" w:cs="Times New Roman"/>
                <w:szCs w:val="24"/>
                <w:cs/>
                <w:lang w:val="mn-MN"/>
              </w:rPr>
            </w:pPr>
            <w:r>
              <w:rPr>
                <w:rFonts w:hint="default" w:ascii="Times New Roman" w:hAnsi="Times New Roman" w:cs="Times New Roman"/>
                <w:szCs w:val="24"/>
                <w:cs/>
                <w:lang w:val="mn-MN"/>
              </w:rPr>
              <w:t>Тээвэрлэлтийн нэгж үнэ</w:t>
            </w:r>
            <w:r>
              <w:rPr>
                <w:rFonts w:hint="default" w:ascii="Times New Roman" w:hAnsi="Times New Roman" w:cs="Times New Roman"/>
                <w:szCs w:val="24"/>
              </w:rPr>
              <w:t>（</w:t>
            </w:r>
            <w:r>
              <w:rPr>
                <w:rFonts w:hint="default" w:ascii="Times New Roman" w:hAnsi="Times New Roman" w:cs="Times New Roman"/>
                <w:szCs w:val="24"/>
                <w:cs/>
                <w:lang w:val="mn-MN"/>
              </w:rPr>
              <w:t>Төгрөг</w:t>
            </w:r>
            <w:r>
              <w:rPr>
                <w:rFonts w:hint="default" w:ascii="Times New Roman" w:hAnsi="Times New Roman" w:cs="Times New Roman"/>
                <w:szCs w:val="24"/>
              </w:rPr>
              <w:t>）</w:t>
            </w:r>
          </w:p>
          <w:p>
            <w:pPr>
              <w:pStyle w:val="280"/>
              <w:keepNext w:val="0"/>
              <w:keepLines w:val="0"/>
              <w:suppressLineNumbers w:val="0"/>
              <w:ind w:left="0" w:right="0" w:firstLine="964"/>
              <w:jc w:val="center"/>
              <w:rPr>
                <w:rFonts w:hint="default" w:ascii="Times New Roman" w:hAnsi="Times New Roman" w:cs="Times New Roman"/>
                <w:szCs w:val="24"/>
              </w:rPr>
            </w:pPr>
            <w:r>
              <w:rPr>
                <w:rFonts w:hint="default" w:ascii="Times New Roman" w:hAnsi="Times New Roman" w:cs="Times New Roman"/>
                <w:szCs w:val="24"/>
              </w:rPr>
              <w:t>运输单价（蒙图）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280"/>
              <w:keepNext w:val="0"/>
              <w:keepLines w:val="0"/>
              <w:suppressLineNumbers w:val="0"/>
              <w:ind w:left="0" w:right="0"/>
              <w:jc w:val="both"/>
              <w:rPr>
                <w:rFonts w:hint="default" w:ascii="Times New Roman" w:hAnsi="Times New Roman" w:cs="Times New Roman"/>
                <w:szCs w:val="24"/>
                <w:cs/>
                <w:lang w:val="mn-MN"/>
              </w:rPr>
            </w:pPr>
            <w:r>
              <w:rPr>
                <w:rFonts w:hint="default" w:ascii="Times New Roman" w:hAnsi="Times New Roman" w:cs="Times New Roman"/>
                <w:szCs w:val="24"/>
                <w:cs/>
                <w:lang w:val="mn-MN"/>
              </w:rPr>
              <w:t>задгай цемент</w:t>
            </w:r>
          </w:p>
          <w:p>
            <w:pPr>
              <w:pStyle w:val="280"/>
              <w:keepNext w:val="0"/>
              <w:keepLines w:val="0"/>
              <w:suppressLineNumbers w:val="0"/>
              <w:ind w:left="0" w:right="0" w:firstLine="964"/>
              <w:jc w:val="center"/>
              <w:rPr>
                <w:rFonts w:hint="default" w:ascii="Times New Roman" w:hAnsi="Times New Roman" w:cs="Times New Roman"/>
                <w:szCs w:val="24"/>
              </w:rPr>
            </w:pPr>
            <w:r>
              <w:rPr>
                <w:rFonts w:hint="eastAsia" w:ascii="Times New Roman" w:hAnsi="Times New Roman" w:cs="Times New Roman"/>
                <w:szCs w:val="24"/>
              </w:rPr>
              <w:t>铅锌精矿粉</w:t>
            </w:r>
          </w:p>
        </w:tc>
        <w:tc>
          <w:tcPr>
            <w:tcW w:w="2778" w:type="dxa"/>
            <w:vAlign w:val="center"/>
          </w:tcPr>
          <w:p>
            <w:pPr>
              <w:pStyle w:val="280"/>
              <w:keepNext w:val="0"/>
              <w:keepLines w:val="0"/>
              <w:suppressLineNumbers w:val="0"/>
              <w:ind w:left="0" w:right="0"/>
              <w:jc w:val="both"/>
              <w:rPr>
                <w:rFonts w:hint="default" w:ascii="Times New Roman" w:hAnsi="Times New Roman" w:cs="Times New Roman"/>
                <w:szCs w:val="24"/>
                <w:cs/>
                <w:lang w:val="mn-MN"/>
              </w:rPr>
            </w:pPr>
            <w:r>
              <w:rPr>
                <w:rFonts w:hint="default" w:ascii="Times New Roman" w:hAnsi="Times New Roman" w:cs="Times New Roman"/>
                <w:szCs w:val="24"/>
              </w:rPr>
              <w:t>Эхлэх цэг:</w:t>
            </w:r>
            <w:r>
              <w:rPr>
                <w:rFonts w:hint="default" w:ascii="Times New Roman" w:hAnsi="Times New Roman" w:cs="Times New Roman"/>
                <w:szCs w:val="24"/>
                <w:lang w:val="mn-MN"/>
              </w:rPr>
              <w:t xml:space="preserve"> Шинь Шинь ХХК-ний Улааны уурхайн гаалийн бүс </w:t>
            </w:r>
            <w:r>
              <w:rPr>
                <w:rFonts w:hint="default" w:ascii="Times New Roman" w:hAnsi="Times New Roman" w:cs="Times New Roman"/>
                <w:szCs w:val="24"/>
                <w:cs/>
                <w:lang w:val="mn-MN"/>
              </w:rPr>
              <w:t xml:space="preserve">      </w:t>
            </w:r>
          </w:p>
          <w:p>
            <w:pPr>
              <w:pStyle w:val="280"/>
              <w:keepNext w:val="0"/>
              <w:keepLines w:val="0"/>
              <w:suppressLineNumbers w:val="0"/>
              <w:ind w:left="0" w:right="0"/>
              <w:jc w:val="both"/>
              <w:rPr>
                <w:rFonts w:hint="default" w:ascii="Times New Roman" w:hAnsi="Times New Roman" w:cs="Times New Roman"/>
                <w:szCs w:val="24"/>
              </w:rPr>
            </w:pPr>
            <w:r>
              <w:rPr>
                <w:rFonts w:hint="default" w:ascii="Times New Roman" w:hAnsi="Times New Roman" w:cs="Times New Roman"/>
                <w:szCs w:val="24"/>
                <w:cs/>
                <w:lang w:val="mn-MN"/>
              </w:rPr>
              <w:t xml:space="preserve"> </w:t>
            </w:r>
            <w:r>
              <w:rPr>
                <w:rFonts w:hint="default" w:ascii="Times New Roman" w:hAnsi="Times New Roman" w:cs="Times New Roman"/>
                <w:szCs w:val="24"/>
              </w:rPr>
              <w:t>起点：新鑫公司乌兰矿</w:t>
            </w:r>
            <w:r>
              <w:rPr>
                <w:rFonts w:hint="eastAsia" w:ascii="Times New Roman" w:hAnsi="Times New Roman" w:cs="Times New Roman"/>
                <w:szCs w:val="24"/>
              </w:rPr>
              <w:t>海关监管区</w:t>
            </w:r>
          </w:p>
          <w:p>
            <w:pPr>
              <w:pStyle w:val="280"/>
              <w:keepNext w:val="0"/>
              <w:keepLines w:val="0"/>
              <w:suppressLineNumbers w:val="0"/>
              <w:ind w:left="0" w:right="0"/>
              <w:jc w:val="both"/>
              <w:rPr>
                <w:rFonts w:hint="default" w:ascii="Times New Roman" w:hAnsi="Times New Roman" w:cs="Times New Roman"/>
                <w:szCs w:val="24"/>
              </w:rPr>
            </w:pPr>
            <w:r>
              <w:rPr>
                <w:rFonts w:hint="default" w:ascii="Times New Roman" w:hAnsi="Times New Roman" w:cs="Times New Roman"/>
                <w:szCs w:val="24"/>
              </w:rPr>
              <w:t>Tаван цэг: Архашаат боомтын гаалийн хяналтын бүс.</w:t>
            </w:r>
          </w:p>
          <w:p>
            <w:pPr>
              <w:pStyle w:val="280"/>
              <w:keepNext w:val="0"/>
              <w:keepLines w:val="0"/>
              <w:suppressLineNumbers w:val="0"/>
              <w:ind w:left="0" w:right="0"/>
              <w:jc w:val="both"/>
              <w:rPr>
                <w:rFonts w:hint="default" w:ascii="Times New Roman" w:hAnsi="Times New Roman" w:cs="Times New Roman"/>
                <w:szCs w:val="24"/>
              </w:rPr>
            </w:pPr>
            <w:r>
              <w:rPr>
                <w:rFonts w:hint="default" w:ascii="Times New Roman" w:hAnsi="Times New Roman" w:cs="Times New Roman"/>
                <w:szCs w:val="24"/>
              </w:rPr>
              <w:t>终点：</w:t>
            </w:r>
            <w:r>
              <w:rPr>
                <w:rFonts w:hint="eastAsia" w:ascii="Times New Roman" w:hAnsi="Times New Roman" w:cs="Times New Roman"/>
                <w:szCs w:val="24"/>
                <w:lang w:val="en-US" w:eastAsia="zh-CN"/>
              </w:rPr>
              <w:t>阿日哈沙特口岸海关监管区</w:t>
            </w:r>
          </w:p>
        </w:tc>
        <w:tc>
          <w:tcPr>
            <w:tcW w:w="1857" w:type="dxa"/>
            <w:tcBorders>
              <w:right w:val="single" w:color="auto" w:sz="4" w:space="0"/>
            </w:tcBorders>
            <w:vAlign w:val="center"/>
          </w:tcPr>
          <w:p>
            <w:pPr>
              <w:pStyle w:val="280"/>
              <w:keepNext w:val="0"/>
              <w:keepLines w:val="0"/>
              <w:suppressLineNumbers w:val="0"/>
              <w:ind w:left="0" w:right="0" w:firstLine="964"/>
              <w:jc w:val="center"/>
              <w:rPr>
                <w:rFonts w:hint="default" w:ascii="Times New Roman" w:hAnsi="Times New Roman" w:cs="Times New Roman"/>
                <w:szCs w:val="24"/>
              </w:rPr>
            </w:pPr>
            <w:r>
              <w:rPr>
                <w:rFonts w:hint="default" w:ascii="Times New Roman" w:hAnsi="Times New Roman" w:cs="Times New Roman"/>
                <w:szCs w:val="24"/>
                <w:cs/>
                <w:lang w:val="mn-MN"/>
              </w:rPr>
              <w:t>Төгрөг</w:t>
            </w:r>
            <w:r>
              <w:rPr>
                <w:rFonts w:hint="eastAsia" w:ascii="Times New Roman" w:hAnsi="Times New Roman" w:cs="Times New Roman"/>
                <w:szCs w:val="24"/>
              </w:rPr>
              <w:t>/</w:t>
            </w:r>
            <w:r>
              <w:rPr>
                <w:rFonts w:hint="default" w:ascii="Times New Roman" w:hAnsi="Times New Roman" w:cs="Times New Roman"/>
                <w:szCs w:val="24"/>
                <w:cs/>
                <w:lang w:val="mn-MN"/>
              </w:rPr>
              <w:t>тонн</w:t>
            </w:r>
            <w:r>
              <w:rPr>
                <w:rFonts w:hint="default" w:ascii="Times New Roman" w:hAnsi="Times New Roman" w:cs="Times New Roman"/>
                <w:szCs w:val="24"/>
              </w:rPr>
              <w:t>*</w:t>
            </w:r>
            <w:r>
              <w:rPr>
                <w:rFonts w:hint="default" w:ascii="Times New Roman" w:hAnsi="Times New Roman" w:cs="Times New Roman"/>
                <w:szCs w:val="24"/>
                <w:cs/>
                <w:lang w:val="mn-MN"/>
              </w:rPr>
              <w:t xml:space="preserve">км                           </w:t>
            </w:r>
            <w:r>
              <w:rPr>
                <w:rFonts w:hint="default" w:ascii="Times New Roman" w:hAnsi="Times New Roman" w:cs="Times New Roman"/>
                <w:szCs w:val="24"/>
              </w:rPr>
              <w:t>蒙图/吨*公里</w:t>
            </w:r>
          </w:p>
        </w:tc>
        <w:tc>
          <w:tcPr>
            <w:tcW w:w="2438" w:type="dxa"/>
            <w:tcBorders>
              <w:left w:val="single" w:color="auto" w:sz="4" w:space="0"/>
            </w:tcBorders>
            <w:vAlign w:val="center"/>
          </w:tcPr>
          <w:p>
            <w:pPr>
              <w:pStyle w:val="280"/>
              <w:keepNext w:val="0"/>
              <w:keepLines w:val="0"/>
              <w:suppressLineNumbers w:val="0"/>
              <w:ind w:left="480" w:right="0" w:firstLine="964"/>
              <w:jc w:val="both"/>
              <w:rPr>
                <w:rFonts w:hint="default" w:ascii="Times New Roman" w:hAnsi="Times New Roman" w:cs="Times New Roman"/>
                <w:szCs w:val="24"/>
              </w:rPr>
            </w:pPr>
          </w:p>
        </w:tc>
      </w:tr>
    </w:tbl>
    <w:p>
      <w:pPr>
        <w:spacing w:line="312" w:lineRule="auto"/>
        <w:ind w:left="480" w:firstLine="964"/>
        <w:rPr>
          <w:sz w:val="24"/>
        </w:rPr>
      </w:pPr>
    </w:p>
    <w:p>
      <w:pPr>
        <w:pStyle w:val="280"/>
        <w:ind w:firstLine="964"/>
        <w:jc w:val="both"/>
        <w:rPr>
          <w:rFonts w:ascii="Times New Roman" w:hAnsi="Times New Roman" w:cs="Times New Roman"/>
          <w:szCs w:val="24"/>
          <w:lang w:val="mn-MN"/>
        </w:rPr>
      </w:pPr>
      <w:r>
        <w:rPr>
          <w:rFonts w:ascii="Times New Roman" w:hAnsi="Times New Roman" w:cs="Times New Roman"/>
          <w:szCs w:val="24"/>
          <w:cs/>
          <w:lang w:val="mn-MN"/>
        </w:rPr>
        <w:t>Тендэрт оролцогч:                                                          Хууль ёсны төлөөлөгч:</w:t>
      </w:r>
    </w:p>
    <w:p>
      <w:pPr>
        <w:pStyle w:val="280"/>
        <w:ind w:firstLine="964"/>
        <w:jc w:val="both"/>
        <w:rPr>
          <w:rFonts w:ascii="Times New Roman" w:hAnsi="Times New Roman" w:cs="Times New Roman"/>
          <w:szCs w:val="24"/>
        </w:rPr>
      </w:pPr>
      <w:r>
        <w:rPr>
          <w:rFonts w:ascii="Times New Roman" w:hAnsi="Times New Roman" w:cs="Times New Roman"/>
          <w:szCs w:val="24"/>
        </w:rPr>
        <w:t xml:space="preserve">投标人：　　　　　　　　　　　　　　　　　　　   法定代表人： </w:t>
      </w:r>
    </w:p>
    <w:p>
      <w:pPr>
        <w:pStyle w:val="280"/>
        <w:ind w:firstLine="964"/>
        <w:jc w:val="both"/>
        <w:rPr>
          <w:rFonts w:ascii="Times New Roman" w:hAnsi="Times New Roman" w:cs="Times New Roman"/>
          <w:szCs w:val="24"/>
          <w:cs/>
          <w:lang w:val="mn-MN"/>
        </w:rPr>
      </w:pPr>
      <w:r>
        <w:rPr>
          <w:rFonts w:ascii="Times New Roman" w:hAnsi="Times New Roman" w:cs="Times New Roman"/>
          <w:szCs w:val="24"/>
          <w:lang w:val="en-GB"/>
        </w:rPr>
        <w:t>(</w:t>
      </w:r>
      <w:r>
        <w:rPr>
          <w:rFonts w:ascii="Times New Roman" w:hAnsi="Times New Roman" w:cs="Times New Roman"/>
          <w:szCs w:val="24"/>
          <w:cs/>
          <w:lang w:val="mn-MN"/>
        </w:rPr>
        <w:t xml:space="preserve">тамга </w:t>
      </w:r>
      <w:r>
        <w:rPr>
          <w:rFonts w:ascii="Times New Roman" w:hAnsi="Times New Roman" w:cs="Times New Roman"/>
          <w:szCs w:val="24"/>
          <w:lang w:val="en-GB"/>
        </w:rPr>
        <w:t>)</w:t>
      </w:r>
      <w:r>
        <w:rPr>
          <w:rFonts w:ascii="Times New Roman" w:hAnsi="Times New Roman" w:cs="Times New Roman"/>
          <w:szCs w:val="24"/>
          <w:cs/>
          <w:lang w:val="mn-MN"/>
        </w:rPr>
        <w:t xml:space="preserve">                                                                                     </w:t>
      </w:r>
      <w:r>
        <w:rPr>
          <w:rFonts w:ascii="Times New Roman" w:hAnsi="Times New Roman" w:cs="Times New Roman"/>
          <w:szCs w:val="24"/>
          <w:lang w:val="en-GB"/>
        </w:rPr>
        <w:t>(</w:t>
      </w:r>
      <w:r>
        <w:rPr>
          <w:rFonts w:ascii="Times New Roman" w:hAnsi="Times New Roman" w:cs="Times New Roman"/>
          <w:szCs w:val="24"/>
          <w:cs/>
          <w:lang w:val="mn-MN"/>
        </w:rPr>
        <w:t xml:space="preserve">тамга </w:t>
      </w:r>
      <w:r>
        <w:rPr>
          <w:rFonts w:ascii="Times New Roman" w:hAnsi="Times New Roman" w:cs="Times New Roman"/>
          <w:szCs w:val="24"/>
          <w:lang w:val="en-GB"/>
        </w:rPr>
        <w:t>)</w:t>
      </w:r>
      <w:r>
        <w:rPr>
          <w:rFonts w:ascii="Times New Roman" w:hAnsi="Times New Roman" w:cs="Times New Roman"/>
          <w:szCs w:val="24"/>
          <w:cs/>
          <w:lang w:val="mn-MN"/>
        </w:rPr>
        <w:t xml:space="preserve">      он       сар    өдө</w:t>
      </w:r>
    </w:p>
    <w:p>
      <w:pPr>
        <w:pStyle w:val="280"/>
        <w:ind w:firstLine="964"/>
        <w:jc w:val="both"/>
        <w:rPr>
          <w:rFonts w:ascii="Times New Roman" w:hAnsi="Times New Roman" w:cs="Times New Roman"/>
          <w:szCs w:val="24"/>
        </w:rPr>
      </w:pPr>
      <w:r>
        <w:rPr>
          <w:rFonts w:ascii="Times New Roman" w:hAnsi="Times New Roman" w:cs="Times New Roman"/>
          <w:szCs w:val="24"/>
        </w:rPr>
        <w:t xml:space="preserve">（公章）　　　　　　　　　　　　　　　　　　　　（签 章）  年   月   日 </w:t>
      </w:r>
    </w:p>
    <w:p>
      <w:pPr>
        <w:pStyle w:val="280"/>
        <w:ind w:left="480" w:firstLine="964"/>
        <w:jc w:val="both"/>
        <w:rPr>
          <w:rFonts w:ascii="Times New Roman" w:hAnsi="Times New Roman" w:cs="Times New Roman"/>
          <w:szCs w:val="24"/>
        </w:rPr>
      </w:pPr>
    </w:p>
    <w:p>
      <w:pPr>
        <w:pStyle w:val="280"/>
        <w:ind w:left="480" w:firstLine="964"/>
        <w:jc w:val="both"/>
        <w:rPr>
          <w:rFonts w:ascii="Times New Roman" w:hAnsi="Times New Roman" w:cs="Times New Roman"/>
          <w:szCs w:val="24"/>
          <w:lang w:val="mn-MN"/>
        </w:rPr>
      </w:pPr>
      <w:r>
        <w:rPr>
          <w:rFonts w:ascii="Times New Roman" w:hAnsi="Times New Roman" w:cs="Times New Roman"/>
          <w:szCs w:val="24"/>
          <w:cs/>
          <w:lang w:val="mn-MN"/>
        </w:rPr>
        <w:t xml:space="preserve">Тайлбар: 1. Үнийн саналын хүснэгт тендэрийн бичиг баримтыг нээх үед зарлаж уншна. Тодорхой, зөв алдаагүй бичих бөгөөд бутархай хоёр оронг үлдээнэ. </w:t>
      </w:r>
    </w:p>
    <w:p>
      <w:pPr>
        <w:pStyle w:val="281"/>
        <w:ind w:left="480" w:firstLine="240" w:firstLineChars="100"/>
        <w:jc w:val="both"/>
        <w:rPr>
          <w:rFonts w:ascii="Times New Roman" w:hAnsi="Times New Roman" w:cs="Times New Roman"/>
          <w:color w:val="auto"/>
          <w:sz w:val="24"/>
          <w:szCs w:val="24"/>
        </w:rPr>
      </w:pPr>
      <w:r>
        <w:rPr>
          <w:rFonts w:ascii="Times New Roman" w:hAnsi="Times New Roman" w:cs="Times New Roman"/>
          <w:color w:val="auto"/>
          <w:sz w:val="24"/>
          <w:szCs w:val="24"/>
        </w:rPr>
        <w:t>说明：1.开标一览表在投标文件开启时公开宣读，务必填写清楚，准确无误，</w:t>
      </w:r>
      <w:r>
        <w:rPr>
          <w:rFonts w:ascii="Times New Roman" w:hAnsi="Times New Roman" w:cs="Times New Roman"/>
          <w:b/>
          <w:color w:val="auto"/>
          <w:sz w:val="24"/>
          <w:szCs w:val="24"/>
        </w:rPr>
        <w:t>且小数点后保留二位</w:t>
      </w:r>
      <w:r>
        <w:rPr>
          <w:rFonts w:ascii="Times New Roman" w:hAnsi="Times New Roman" w:cs="Times New Roman"/>
          <w:color w:val="auto"/>
          <w:sz w:val="24"/>
          <w:szCs w:val="24"/>
        </w:rPr>
        <w:t>。</w:t>
      </w:r>
    </w:p>
    <w:p>
      <w:pPr>
        <w:pStyle w:val="281"/>
        <w:ind w:left="480" w:firstLine="240" w:firstLineChars="100"/>
        <w:jc w:val="both"/>
        <w:rPr>
          <w:rFonts w:ascii="Times New Roman" w:hAnsi="Times New Roman" w:cs="Times New Roman"/>
          <w:color w:val="auto"/>
          <w:sz w:val="24"/>
          <w:szCs w:val="24"/>
        </w:rPr>
      </w:pPr>
      <w:r>
        <w:rPr>
          <w:rFonts w:ascii="Times New Roman" w:hAnsi="Times New Roman" w:cs="Times New Roman"/>
          <w:sz w:val="24"/>
          <w:szCs w:val="24"/>
        </w:rPr>
        <w:t xml:space="preserve"> Хүснэгтэнд үнийн саналд тээвэр, даатгал, НӨАТ-н 10</w:t>
      </w:r>
      <w:r>
        <w:rPr>
          <w:rFonts w:ascii="Times New Roman" w:hAnsi="Times New Roman" w:cs="Times New Roman"/>
          <w:sz w:val="24"/>
          <w:szCs w:val="24"/>
          <w:shd w:val="clear" w:color="auto" w:fill="FFFFFF"/>
        </w:rPr>
        <w:t>% зэрэг зардалууд багтсан байна.</w:t>
      </w:r>
    </w:p>
    <w:p>
      <w:pPr>
        <w:pStyle w:val="281"/>
        <w:ind w:left="480" w:firstLine="960" w:firstLineChars="400"/>
        <w:rPr>
          <w:rFonts w:ascii="Times New Roman" w:hAnsi="Times New Roman" w:cs="Times New Roman" w:eastAsiaTheme="minorEastAsia"/>
          <w:sz w:val="24"/>
          <w:szCs w:val="24"/>
        </w:rPr>
        <w:sectPr>
          <w:pgSz w:w="11907" w:h="16840"/>
          <w:pgMar w:top="1440" w:right="1418" w:bottom="1418" w:left="1440" w:header="851" w:footer="992" w:gutter="0"/>
          <w:cols w:space="425" w:num="1"/>
          <w:docGrid w:type="lines" w:linePitch="286" w:charSpace="0"/>
        </w:sectPr>
      </w:pPr>
      <w:r>
        <w:rPr>
          <w:rFonts w:ascii="Times New Roman" w:hAnsi="Times New Roman" w:cs="Times New Roman" w:eastAsiaTheme="minorEastAsia"/>
          <w:color w:val="auto"/>
          <w:sz w:val="24"/>
          <w:szCs w:val="24"/>
        </w:rPr>
        <w:t>2.</w:t>
      </w:r>
      <w:r>
        <w:rPr>
          <w:rFonts w:ascii="Times New Roman" w:hAnsi="Times New Roman" w:cs="Times New Roman" w:eastAsiaTheme="minorEastAsia"/>
          <w:sz w:val="24"/>
          <w:szCs w:val="24"/>
          <w:shd w:val="clear" w:color="auto" w:fill="FFFFFF"/>
        </w:rPr>
        <w:t>表中的报价包含运输、保险、10%的增值税等费用。</w:t>
      </w:r>
    </w:p>
    <w:p>
      <w:pPr>
        <w:pStyle w:val="5"/>
        <w:spacing w:line="240" w:lineRule="auto"/>
        <w:ind w:firstLine="960"/>
        <w:rPr>
          <w:sz w:val="24"/>
          <w:szCs w:val="24"/>
          <w:cs/>
          <w:lang w:val="mn-MN"/>
        </w:rPr>
      </w:pPr>
      <w:bookmarkStart w:id="129" w:name="_Toc32217"/>
      <w:bookmarkStart w:id="130" w:name="_Toc461108865"/>
      <w:bookmarkStart w:id="131" w:name="_Toc15795"/>
      <w:bookmarkStart w:id="132" w:name="_Toc183017279"/>
      <w:r>
        <w:rPr>
          <w:sz w:val="24"/>
          <w:szCs w:val="24"/>
          <w:cs/>
          <w:lang w:val="mn-MN"/>
        </w:rPr>
        <w:t xml:space="preserve">Хавсралт 1-5 Зохион байгуулалтын арга хэмжээ </w:t>
      </w:r>
    </w:p>
    <w:p>
      <w:pPr>
        <w:pStyle w:val="5"/>
        <w:spacing w:line="240" w:lineRule="auto"/>
        <w:ind w:firstLine="960"/>
        <w:rPr>
          <w:sz w:val="24"/>
          <w:szCs w:val="24"/>
        </w:rPr>
      </w:pPr>
      <w:r>
        <w:rPr>
          <w:sz w:val="24"/>
          <w:szCs w:val="24"/>
        </w:rPr>
        <w:t xml:space="preserve">附件1-5 </w:t>
      </w:r>
      <w:bookmarkEnd w:id="129"/>
      <w:bookmarkEnd w:id="130"/>
      <w:bookmarkEnd w:id="131"/>
      <w:bookmarkEnd w:id="132"/>
      <w:r>
        <w:rPr>
          <w:sz w:val="24"/>
          <w:szCs w:val="24"/>
        </w:rPr>
        <w:t>组织措施</w:t>
      </w:r>
    </w:p>
    <w:p>
      <w:pPr>
        <w:pStyle w:val="5"/>
        <w:spacing w:line="240" w:lineRule="auto"/>
        <w:ind w:firstLine="482" w:firstLineChars="200"/>
        <w:rPr>
          <w:sz w:val="24"/>
          <w:szCs w:val="24"/>
        </w:rPr>
      </w:pPr>
      <w:r>
        <w:rPr>
          <w:sz w:val="24"/>
          <w:szCs w:val="24"/>
        </w:rPr>
        <w:t xml:space="preserve">Тайлбар: Тээвэрлэлт хийх машины бүртгэл, тендэр зарлагчийн тендэрийн үйлчилгээг хангах, тээвэрлэлтэнд явах машин, машины төлөвлөгөө, ажилтан, аюулгүй байдал болон торгуулийн байдал. </w:t>
      </w:r>
    </w:p>
    <w:p>
      <w:pPr>
        <w:pStyle w:val="5"/>
        <w:spacing w:line="240" w:lineRule="auto"/>
        <w:ind w:firstLine="482" w:firstLineChars="200"/>
        <w:rPr>
          <w:rFonts w:eastAsia="仿宋"/>
          <w:sz w:val="24"/>
          <w:szCs w:val="24"/>
        </w:rPr>
      </w:pPr>
      <w:r>
        <w:rPr>
          <w:rFonts w:eastAsiaTheme="minorEastAsia"/>
          <w:sz w:val="24"/>
          <w:szCs w:val="24"/>
        </w:rPr>
        <w:t>说明：运行车辆台账表，为满足招标人运输业务，谈判人拟投入车辆、运输计划、人员、安全保障及奖罚情况；</w:t>
      </w:r>
    </w:p>
    <w:p>
      <w:pPr>
        <w:ind w:left="480" w:firstLine="964"/>
        <w:rPr>
          <w:kern w:val="0"/>
          <w:sz w:val="24"/>
        </w:rPr>
        <w:sectPr>
          <w:headerReference r:id="rId8" w:type="first"/>
          <w:footerReference r:id="rId11" w:type="first"/>
          <w:footerReference r:id="rId9" w:type="default"/>
          <w:headerReference r:id="rId7" w:type="even"/>
          <w:footerReference r:id="rId10" w:type="even"/>
          <w:pgSz w:w="11906" w:h="16838"/>
          <w:pgMar w:top="1440" w:right="1080" w:bottom="1440" w:left="1080" w:header="851" w:footer="850" w:gutter="0"/>
          <w:cols w:space="720" w:num="1"/>
          <w:docGrid w:type="lines" w:linePitch="312" w:charSpace="0"/>
        </w:sectPr>
      </w:pPr>
    </w:p>
    <w:p>
      <w:pPr>
        <w:pStyle w:val="5"/>
        <w:ind w:left="480" w:firstLine="960"/>
        <w:rPr>
          <w:sz w:val="24"/>
          <w:szCs w:val="24"/>
          <w:lang w:val="mn-MN"/>
        </w:rPr>
      </w:pPr>
      <w:bookmarkStart w:id="133" w:name="_Toc5403"/>
      <w:bookmarkStart w:id="134" w:name="_Toc183017280"/>
      <w:bookmarkStart w:id="135" w:name="_Toc461108866"/>
      <w:r>
        <w:rPr>
          <w:sz w:val="24"/>
          <w:szCs w:val="24"/>
          <w:cs/>
          <w:lang w:val="mn-MN"/>
        </w:rPr>
        <w:t>Хавсралт 1-6 Байгууллагын улсын бүртгэлийн гэрчилгээ болон нотлох бичиг баримт</w:t>
      </w:r>
    </w:p>
    <w:p>
      <w:pPr>
        <w:pStyle w:val="5"/>
        <w:ind w:left="480" w:firstLine="960"/>
        <w:rPr>
          <w:b w:val="0"/>
          <w:bCs w:val="0"/>
          <w:sz w:val="24"/>
          <w:szCs w:val="24"/>
        </w:rPr>
      </w:pPr>
      <w:r>
        <w:rPr>
          <w:sz w:val="24"/>
          <w:szCs w:val="24"/>
        </w:rPr>
        <w:t>附件1-6企业资质和证明文件</w:t>
      </w:r>
      <w:bookmarkEnd w:id="133"/>
      <w:bookmarkEnd w:id="134"/>
      <w:bookmarkEnd w:id="135"/>
    </w:p>
    <w:p>
      <w:pPr>
        <w:ind w:left="480"/>
        <w:rPr>
          <w:sz w:val="24"/>
          <w:lang w:val="mn-MN"/>
        </w:rPr>
      </w:pPr>
      <w:r>
        <w:rPr>
          <w:sz w:val="24"/>
          <w:cs/>
          <w:lang w:val="mn-MN"/>
        </w:rPr>
        <w:t xml:space="preserve">                                                            Нэг . Хуулийн этгээдийн мэдээлэл</w:t>
      </w:r>
    </w:p>
    <w:p>
      <w:pPr>
        <w:widowControl/>
        <w:spacing w:line="360" w:lineRule="auto"/>
        <w:ind w:left="480" w:firstLine="960"/>
        <w:rPr>
          <w:b/>
          <w:sz w:val="24"/>
        </w:rPr>
      </w:pPr>
      <w:r>
        <w:rPr>
          <w:b/>
          <w:sz w:val="24"/>
        </w:rPr>
        <w:t>一 法人资格资料表</w:t>
      </w:r>
    </w:p>
    <w:p>
      <w:pPr>
        <w:widowControl/>
        <w:spacing w:line="360" w:lineRule="auto"/>
        <w:ind w:left="480"/>
        <w:rPr>
          <w:b/>
          <w:sz w:val="24"/>
          <w:lang w:val="mn-MN"/>
        </w:rPr>
      </w:pPr>
      <w:r>
        <w:rPr>
          <w:b/>
          <w:sz w:val="24"/>
          <w:cs/>
          <w:lang w:val="mn-MN"/>
        </w:rPr>
        <w:t>Тендэрт оролцогчийн нэр:</w:t>
      </w:r>
    </w:p>
    <w:p>
      <w:pPr>
        <w:spacing w:line="400" w:lineRule="exact"/>
        <w:ind w:left="480" w:firstLine="964"/>
        <w:rPr>
          <w:sz w:val="24"/>
        </w:rPr>
      </w:pPr>
      <w:r>
        <w:rPr>
          <w:sz w:val="24"/>
        </w:rPr>
        <w:t>投标人名称：</w:t>
      </w:r>
    </w:p>
    <w:p>
      <w:pPr>
        <w:spacing w:line="400" w:lineRule="exact"/>
        <w:ind w:left="480" w:firstLine="843"/>
        <w:rPr>
          <w:sz w:val="24"/>
          <w:lang w:val="mn-MN"/>
        </w:rPr>
      </w:pPr>
      <w:r>
        <w:rPr>
          <w:sz w:val="24"/>
          <w:cs/>
          <w:lang w:val="mn-MN"/>
        </w:rPr>
        <w:t>Улсын бүртгэлийн гэрчилгээний дугаар:</w:t>
      </w:r>
    </w:p>
    <w:p>
      <w:pPr>
        <w:spacing w:line="400" w:lineRule="exact"/>
        <w:ind w:left="480" w:firstLine="964"/>
        <w:rPr>
          <w:sz w:val="24"/>
        </w:rPr>
      </w:pPr>
      <w:r>
        <w:rPr>
          <w:sz w:val="24"/>
        </w:rPr>
        <w:t>营业执照号：</w:t>
      </w:r>
    </w:p>
    <w:p>
      <w:pPr>
        <w:spacing w:line="400" w:lineRule="exact"/>
        <w:ind w:left="480" w:firstLine="843"/>
        <w:rPr>
          <w:sz w:val="24"/>
          <w:lang w:val="mn-MN"/>
        </w:rPr>
      </w:pPr>
      <w:r>
        <w:rPr>
          <w:sz w:val="24"/>
          <w:cs/>
          <w:lang w:val="mn-MN"/>
        </w:rPr>
        <w:t>Хууль ёсны төлөөлөгч:</w:t>
      </w:r>
    </w:p>
    <w:p>
      <w:pPr>
        <w:spacing w:line="400" w:lineRule="exact"/>
        <w:ind w:left="480" w:firstLine="964"/>
        <w:rPr>
          <w:sz w:val="24"/>
          <w:lang w:val="mn-MN"/>
        </w:rPr>
      </w:pPr>
      <w:r>
        <w:rPr>
          <w:sz w:val="24"/>
          <w:lang w:val="mn-MN"/>
        </w:rPr>
        <w:t>法定代表人：</w:t>
      </w:r>
    </w:p>
    <w:p>
      <w:pPr>
        <w:spacing w:line="400" w:lineRule="exact"/>
        <w:ind w:left="480" w:firstLine="843"/>
        <w:rPr>
          <w:sz w:val="24"/>
          <w:lang w:val="mn-MN"/>
        </w:rPr>
      </w:pPr>
      <w:r>
        <w:rPr>
          <w:sz w:val="24"/>
          <w:cs/>
          <w:lang w:val="mn-MN"/>
        </w:rPr>
        <w:t>Гэрчилгээ олгосон байгууллага:</w:t>
      </w:r>
    </w:p>
    <w:p>
      <w:pPr>
        <w:spacing w:line="400" w:lineRule="exact"/>
        <w:ind w:left="480" w:firstLine="964"/>
        <w:rPr>
          <w:sz w:val="24"/>
        </w:rPr>
      </w:pPr>
      <w:r>
        <w:rPr>
          <w:sz w:val="24"/>
        </w:rPr>
        <w:t>发证机关：</w:t>
      </w:r>
    </w:p>
    <w:p>
      <w:pPr>
        <w:spacing w:line="400" w:lineRule="exact"/>
        <w:ind w:left="480" w:firstLine="843"/>
        <w:rPr>
          <w:sz w:val="24"/>
          <w:lang w:val="mn-MN"/>
        </w:rPr>
      </w:pPr>
      <w:r>
        <w:rPr>
          <w:sz w:val="24"/>
          <w:cs/>
          <w:lang w:val="mn-MN"/>
        </w:rPr>
        <w:t>Гэрчилгээ олгосон он сар:</w:t>
      </w:r>
    </w:p>
    <w:p>
      <w:pPr>
        <w:spacing w:line="400" w:lineRule="exact"/>
        <w:ind w:left="480" w:firstLine="964"/>
        <w:rPr>
          <w:sz w:val="24"/>
        </w:rPr>
      </w:pPr>
      <w:r>
        <w:rPr>
          <w:sz w:val="24"/>
        </w:rPr>
        <w:t>发证日期：</w:t>
      </w:r>
    </w:p>
    <w:p>
      <w:pPr>
        <w:spacing w:line="400" w:lineRule="exact"/>
        <w:ind w:left="480" w:firstLine="843"/>
        <w:rPr>
          <w:sz w:val="24"/>
          <w:lang w:val="mn-MN"/>
        </w:rPr>
      </w:pPr>
      <w:r>
        <w:rPr>
          <w:sz w:val="24"/>
          <w:cs/>
          <w:lang w:val="mn-MN"/>
        </w:rPr>
        <w:t>Хаяг:</w:t>
      </w:r>
    </w:p>
    <w:p>
      <w:pPr>
        <w:spacing w:line="400" w:lineRule="exact"/>
        <w:ind w:left="480" w:firstLine="964"/>
        <w:rPr>
          <w:sz w:val="24"/>
        </w:rPr>
      </w:pPr>
      <w:r>
        <w:rPr>
          <w:sz w:val="24"/>
        </w:rPr>
        <w:t>地址：</w:t>
      </w:r>
    </w:p>
    <w:p>
      <w:pPr>
        <w:spacing w:line="400" w:lineRule="exact"/>
        <w:ind w:left="480" w:firstLine="843"/>
        <w:rPr>
          <w:sz w:val="24"/>
          <w:lang w:val="mn-MN"/>
        </w:rPr>
      </w:pPr>
      <w:r>
        <w:rPr>
          <w:sz w:val="24"/>
          <w:cs/>
          <w:lang w:val="mn-MN"/>
        </w:rPr>
        <w:t>Татвар төлөгчийн дугаар:</w:t>
      </w:r>
    </w:p>
    <w:p>
      <w:pPr>
        <w:spacing w:line="400" w:lineRule="exact"/>
        <w:ind w:left="480" w:firstLine="964"/>
        <w:rPr>
          <w:sz w:val="24"/>
        </w:rPr>
      </w:pPr>
      <w:r>
        <w:rPr>
          <w:sz w:val="24"/>
        </w:rPr>
        <w:t>纳税人编号：</w:t>
      </w:r>
    </w:p>
    <w:p>
      <w:pPr>
        <w:spacing w:line="400" w:lineRule="exact"/>
        <w:ind w:left="480" w:firstLine="964"/>
        <w:rPr>
          <w:sz w:val="24"/>
        </w:rPr>
      </w:pPr>
    </w:p>
    <w:p>
      <w:pPr>
        <w:spacing w:line="400" w:lineRule="exact"/>
        <w:ind w:left="480" w:firstLine="843"/>
        <w:rPr>
          <w:sz w:val="24"/>
          <w:lang w:val="en-GB"/>
        </w:rPr>
      </w:pPr>
      <w:r>
        <w:rPr>
          <w:sz w:val="24"/>
          <w:cs/>
          <w:lang w:val="mn-MN"/>
        </w:rPr>
        <w:t xml:space="preserve">Тендэрт оролцогч </w:t>
      </w:r>
      <w:r>
        <w:rPr>
          <w:sz w:val="24"/>
          <w:lang w:val="en-GB"/>
        </w:rPr>
        <w:t>(</w:t>
      </w:r>
      <w:r>
        <w:rPr>
          <w:sz w:val="24"/>
          <w:cs/>
          <w:lang w:val="mn-MN"/>
        </w:rPr>
        <w:t>тамга</w:t>
      </w:r>
      <w:r>
        <w:rPr>
          <w:sz w:val="24"/>
          <w:lang w:val="en-GB"/>
        </w:rPr>
        <w:t xml:space="preserve"> )</w:t>
      </w:r>
    </w:p>
    <w:p>
      <w:pPr>
        <w:spacing w:line="400" w:lineRule="exact"/>
        <w:ind w:left="480" w:firstLine="964"/>
        <w:rPr>
          <w:sz w:val="24"/>
        </w:rPr>
      </w:pPr>
      <w:r>
        <w:rPr>
          <w:sz w:val="24"/>
        </w:rPr>
        <w:t>投标人（公章）：</w:t>
      </w:r>
    </w:p>
    <w:p>
      <w:pPr>
        <w:spacing w:line="400" w:lineRule="exact"/>
        <w:ind w:left="480" w:firstLine="843"/>
        <w:rPr>
          <w:sz w:val="24"/>
          <w:lang w:val="mn-MN"/>
        </w:rPr>
      </w:pPr>
      <w:r>
        <w:rPr>
          <w:sz w:val="24"/>
          <w:cs/>
          <w:lang w:val="mn-MN"/>
        </w:rPr>
        <w:t xml:space="preserve">                                                                                                 Он      сар      өдөр</w:t>
      </w:r>
    </w:p>
    <w:p>
      <w:pPr>
        <w:spacing w:line="400" w:lineRule="exact"/>
        <w:ind w:right="480" w:firstLine="6720" w:firstLineChars="2800"/>
        <w:rPr>
          <w:sz w:val="24"/>
          <w:lang w:val="mn-MN"/>
        </w:rPr>
      </w:pPr>
      <w:r>
        <w:rPr>
          <w:sz w:val="24"/>
          <w:lang w:val="mn-MN"/>
        </w:rPr>
        <w:t>年</w:t>
      </w:r>
      <w:r>
        <w:rPr>
          <w:sz w:val="24"/>
          <w:cs/>
          <w:lang w:val="mn-MN"/>
        </w:rPr>
        <w:t xml:space="preserve">      </w:t>
      </w:r>
      <w:r>
        <w:rPr>
          <w:sz w:val="24"/>
          <w:lang w:val="mn-MN"/>
        </w:rPr>
        <w:t>月</w:t>
      </w:r>
      <w:r>
        <w:rPr>
          <w:sz w:val="24"/>
          <w:cs/>
          <w:lang w:val="mn-MN"/>
        </w:rPr>
        <w:t xml:space="preserve">      </w:t>
      </w:r>
      <w:r>
        <w:rPr>
          <w:sz w:val="24"/>
          <w:lang w:val="mn-MN"/>
        </w:rPr>
        <w:t>日</w:t>
      </w:r>
    </w:p>
    <w:p>
      <w:pPr>
        <w:spacing w:line="400" w:lineRule="exact"/>
        <w:ind w:left="480" w:firstLine="964"/>
        <w:rPr>
          <w:sz w:val="24"/>
          <w:lang w:val="mn-MN"/>
        </w:rPr>
      </w:pPr>
    </w:p>
    <w:p>
      <w:pPr>
        <w:spacing w:line="500" w:lineRule="exact"/>
        <w:ind w:left="480" w:firstLine="843"/>
        <w:rPr>
          <w:sz w:val="24"/>
          <w:lang w:val="mn-MN"/>
        </w:rPr>
      </w:pPr>
      <w:r>
        <w:rPr>
          <w:sz w:val="24"/>
          <w:cs/>
          <w:lang w:val="mn-MN"/>
        </w:rPr>
        <w:t>Тайлбар: Энэхүү мэдээлэлтэй хамт хүчин төгөлдөр улсын бүртгэлийн гэрчилгээ болон татвар төлөгчийн гэрчилгээ</w:t>
      </w:r>
      <w:r>
        <w:rPr>
          <w:sz w:val="24"/>
          <w:lang w:val="mn-MN"/>
        </w:rPr>
        <w:t>(</w:t>
      </w:r>
      <w:r>
        <w:rPr>
          <w:sz w:val="24"/>
          <w:cs/>
          <w:lang w:val="mn-MN"/>
        </w:rPr>
        <w:t>хуулбар дээр тамга даруулах</w:t>
      </w:r>
      <w:r>
        <w:rPr>
          <w:sz w:val="24"/>
          <w:lang w:val="mn-MN"/>
        </w:rPr>
        <w:t xml:space="preserve"> )</w:t>
      </w:r>
    </w:p>
    <w:p>
      <w:pPr>
        <w:spacing w:line="500" w:lineRule="exact"/>
        <w:ind w:left="480" w:firstLine="960"/>
        <w:rPr>
          <w:b/>
          <w:sz w:val="24"/>
        </w:rPr>
      </w:pPr>
      <w:r>
        <w:rPr>
          <w:b/>
          <w:sz w:val="24"/>
        </w:rPr>
        <w:t>备注：随本表请同时提供有效的营业执照及一般纳税人资质证明（复印件须加盖公章）。</w:t>
      </w:r>
    </w:p>
    <w:p>
      <w:pPr>
        <w:widowControl/>
        <w:spacing w:line="360" w:lineRule="auto"/>
        <w:ind w:left="480" w:firstLine="960"/>
        <w:rPr>
          <w:b/>
          <w:sz w:val="24"/>
        </w:rPr>
      </w:pPr>
      <w:r>
        <w:rPr>
          <w:b/>
          <w:sz w:val="24"/>
        </w:rPr>
        <w:br w:type="page"/>
      </w:r>
    </w:p>
    <w:p>
      <w:pPr>
        <w:widowControl/>
        <w:spacing w:line="360" w:lineRule="auto"/>
        <w:ind w:left="480" w:firstLine="843"/>
        <w:rPr>
          <w:b/>
          <w:sz w:val="24"/>
          <w:lang w:val="mn-MN"/>
        </w:rPr>
      </w:pPr>
      <w:r>
        <w:rPr>
          <w:b/>
          <w:sz w:val="24"/>
          <w:cs/>
          <w:lang w:val="mn-MN"/>
        </w:rPr>
        <w:t>Хоёр Тендэрт оролцогчийн мэдээлэл</w:t>
      </w:r>
    </w:p>
    <w:p>
      <w:pPr>
        <w:widowControl/>
        <w:spacing w:line="360" w:lineRule="auto"/>
        <w:ind w:left="480" w:firstLine="960"/>
        <w:rPr>
          <w:b/>
          <w:sz w:val="24"/>
        </w:rPr>
      </w:pPr>
      <w:r>
        <w:rPr>
          <w:b/>
          <w:sz w:val="24"/>
        </w:rPr>
        <w:t>二  投标人情况表</w:t>
      </w:r>
    </w:p>
    <w:p>
      <w:pPr>
        <w:numPr>
          <w:ilvl w:val="0"/>
          <w:numId w:val="23"/>
        </w:numPr>
        <w:ind w:left="480" w:firstLine="840"/>
        <w:rPr>
          <w:b/>
          <w:bCs/>
          <w:sz w:val="24"/>
        </w:rPr>
      </w:pPr>
      <w:r>
        <w:rPr>
          <w:b/>
          <w:bCs/>
          <w:sz w:val="24"/>
          <w:cs/>
          <w:lang w:val="mn-MN"/>
        </w:rPr>
        <w:t>Тендэрт оролцогч болон байгууллагын бүтэц</w:t>
      </w:r>
    </w:p>
    <w:p>
      <w:pPr>
        <w:ind w:left="480" w:firstLine="361" w:firstLineChars="150"/>
        <w:rPr>
          <w:b/>
          <w:bCs/>
          <w:sz w:val="24"/>
        </w:rPr>
      </w:pPr>
      <w:r>
        <w:rPr>
          <w:b/>
          <w:bCs/>
          <w:sz w:val="24"/>
        </w:rPr>
        <w:t>投标人及组织机构</w:t>
      </w:r>
    </w:p>
    <w:p>
      <w:pPr>
        <w:ind w:left="480" w:firstLine="781" w:firstLineChars="324"/>
        <w:rPr>
          <w:b/>
          <w:bCs/>
          <w:sz w:val="24"/>
          <w:lang w:val="mn-MN"/>
        </w:rPr>
      </w:pPr>
      <w:r>
        <w:rPr>
          <w:b/>
          <w:bCs/>
          <w:sz w:val="24"/>
          <w:cs/>
          <w:lang w:val="mn-MN"/>
        </w:rPr>
        <w:t>1.1  Ерөнхий мэдээлэл</w:t>
      </w:r>
    </w:p>
    <w:p>
      <w:pPr>
        <w:spacing w:after="156" w:afterLines="50"/>
        <w:ind w:left="480" w:firstLine="964"/>
        <w:rPr>
          <w:sz w:val="24"/>
        </w:rPr>
      </w:pPr>
      <w:r>
        <w:rPr>
          <w:sz w:val="24"/>
        </w:rPr>
        <w:t xml:space="preserve">    1.1一般情况</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49" w:type="dxa"/>
            <w:tcBorders>
              <w:top w:val="single" w:color="auto" w:sz="12" w:space="0"/>
              <w:left w:val="nil"/>
              <w:bottom w:val="single" w:color="auto" w:sz="12" w:space="0"/>
              <w:right w:val="nil"/>
            </w:tcBorders>
          </w:tcPr>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Бүртгүүлсэн нэр:</w:t>
            </w:r>
          </w:p>
          <w:p>
            <w:pPr>
              <w:keepNext w:val="0"/>
              <w:keepLines w:val="0"/>
              <w:suppressLineNumbers w:val="0"/>
              <w:spacing w:before="0" w:beforeAutospacing="0" w:after="0" w:afterAutospacing="0"/>
              <w:ind w:left="480" w:right="0" w:firstLine="964"/>
              <w:rPr>
                <w:rFonts w:hint="default"/>
                <w:sz w:val="24"/>
              </w:rPr>
            </w:pPr>
            <w:r>
              <w:rPr>
                <w:rFonts w:hint="default"/>
                <w:sz w:val="24"/>
              </w:rPr>
              <w:t>注册名称：</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Бүртгүүлсэн хөрөнгө:</w:t>
            </w:r>
          </w:p>
          <w:p>
            <w:pPr>
              <w:keepNext w:val="0"/>
              <w:keepLines w:val="0"/>
              <w:suppressLineNumbers w:val="0"/>
              <w:spacing w:before="0" w:beforeAutospacing="0" w:after="0" w:afterAutospacing="0"/>
              <w:ind w:left="480" w:right="0" w:firstLine="964"/>
              <w:rPr>
                <w:rFonts w:hint="default"/>
                <w:sz w:val="24"/>
              </w:rPr>
            </w:pPr>
            <w:r>
              <w:rPr>
                <w:rFonts w:hint="default"/>
                <w:sz w:val="24"/>
              </w:rPr>
              <w:t>注册资本：</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Үйл ажиллагааны цар хүрээ:</w:t>
            </w:r>
          </w:p>
          <w:p>
            <w:pPr>
              <w:keepNext w:val="0"/>
              <w:keepLines w:val="0"/>
              <w:suppressLineNumbers w:val="0"/>
              <w:spacing w:before="0" w:beforeAutospacing="0" w:after="0" w:afterAutospacing="0"/>
              <w:ind w:left="480" w:right="0" w:firstLine="964"/>
              <w:rPr>
                <w:rFonts w:hint="default"/>
                <w:sz w:val="24"/>
              </w:rPr>
            </w:pPr>
            <w:r>
              <w:rPr>
                <w:rFonts w:hint="default"/>
                <w:sz w:val="24"/>
              </w:rPr>
              <w:t>经营范围：</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Бизнесийн төрөл: </w:t>
            </w:r>
          </w:p>
          <w:p>
            <w:pPr>
              <w:keepNext w:val="0"/>
              <w:keepLines w:val="0"/>
              <w:suppressLineNumbers w:val="0"/>
              <w:spacing w:before="0" w:beforeAutospacing="0" w:after="0" w:afterAutospacing="0"/>
              <w:ind w:left="480" w:right="0" w:firstLine="964"/>
              <w:rPr>
                <w:rFonts w:hint="default"/>
                <w:sz w:val="24"/>
              </w:rPr>
            </w:pPr>
            <w:r>
              <w:rPr>
                <w:rFonts w:hint="default"/>
                <w:sz w:val="24"/>
              </w:rPr>
              <w:t>经济类型：</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Хаяг:</w:t>
            </w:r>
          </w:p>
          <w:p>
            <w:pPr>
              <w:keepNext w:val="0"/>
              <w:keepLines w:val="0"/>
              <w:suppressLineNumbers w:val="0"/>
              <w:spacing w:before="0" w:beforeAutospacing="0" w:after="0" w:afterAutospacing="0"/>
              <w:ind w:left="480" w:right="0" w:firstLine="964"/>
              <w:rPr>
                <w:rFonts w:hint="default"/>
                <w:sz w:val="24"/>
              </w:rPr>
            </w:pPr>
            <w:r>
              <w:rPr>
                <w:rFonts w:hint="default"/>
                <w:sz w:val="24"/>
              </w:rPr>
              <w:t>地    址：</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Шуудангийн дугаар:</w:t>
            </w:r>
          </w:p>
          <w:p>
            <w:pPr>
              <w:keepNext w:val="0"/>
              <w:keepLines w:val="0"/>
              <w:suppressLineNumbers w:val="0"/>
              <w:spacing w:before="0" w:beforeAutospacing="0" w:after="0" w:afterAutospacing="0"/>
              <w:ind w:left="480" w:right="0" w:firstLine="964"/>
              <w:rPr>
                <w:rFonts w:hint="default"/>
                <w:sz w:val="24"/>
              </w:rPr>
            </w:pPr>
            <w:r>
              <w:rPr>
                <w:rFonts w:hint="default"/>
                <w:sz w:val="24"/>
              </w:rPr>
              <w:t>邮政编码：</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Утас: </w:t>
            </w:r>
          </w:p>
          <w:p>
            <w:pPr>
              <w:keepNext w:val="0"/>
              <w:keepLines w:val="0"/>
              <w:suppressLineNumbers w:val="0"/>
              <w:spacing w:before="0" w:beforeAutospacing="0" w:after="0" w:afterAutospacing="0"/>
              <w:ind w:left="480" w:right="0" w:firstLine="964"/>
              <w:rPr>
                <w:rFonts w:hint="default"/>
                <w:sz w:val="24"/>
              </w:rPr>
            </w:pPr>
            <w:r>
              <w:rPr>
                <w:rFonts w:hint="default"/>
                <w:sz w:val="24"/>
              </w:rPr>
              <w:t>电    话：</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Факс: </w:t>
            </w:r>
          </w:p>
          <w:p>
            <w:pPr>
              <w:keepNext w:val="0"/>
              <w:keepLines w:val="0"/>
              <w:suppressLineNumbers w:val="0"/>
              <w:spacing w:before="0" w:beforeAutospacing="0" w:after="0" w:afterAutospacing="0"/>
              <w:ind w:left="480" w:right="0" w:firstLine="964"/>
              <w:rPr>
                <w:rFonts w:hint="default"/>
                <w:sz w:val="24"/>
              </w:rPr>
            </w:pPr>
            <w:r>
              <w:rPr>
                <w:rFonts w:hint="default"/>
                <w:sz w:val="24"/>
              </w:rPr>
              <w:t>传    真：</w:t>
            </w:r>
          </w:p>
        </w:tc>
      </w:tr>
    </w:tbl>
    <w:p>
      <w:pPr>
        <w:ind w:left="480" w:firstLine="964"/>
        <w:rPr>
          <w:sz w:val="24"/>
          <w:lang w:val="mn-MN"/>
        </w:rPr>
      </w:pPr>
      <w:r>
        <w:rPr>
          <w:sz w:val="24"/>
        </w:rPr>
        <w:t xml:space="preserve">   1.2</w:t>
      </w:r>
      <w:r>
        <w:rPr>
          <w:sz w:val="24"/>
          <w:cs/>
          <w:lang w:val="mn-MN"/>
        </w:rPr>
        <w:t xml:space="preserve"> Байгууллагын бүтэц </w:t>
      </w:r>
    </w:p>
    <w:p>
      <w:pPr>
        <w:ind w:left="480" w:firstLine="1111" w:firstLineChars="463"/>
        <w:rPr>
          <w:sz w:val="24"/>
        </w:rPr>
      </w:pPr>
      <w:r>
        <w:rPr>
          <w:sz w:val="24"/>
        </w:rPr>
        <w:t>组织机构</w:t>
      </w:r>
    </w:p>
    <w:p>
      <w:pPr>
        <w:numPr>
          <w:ilvl w:val="0"/>
          <w:numId w:val="24"/>
        </w:numPr>
        <w:ind w:left="480" w:firstLine="843"/>
        <w:rPr>
          <w:sz w:val="24"/>
        </w:rPr>
      </w:pPr>
      <w:r>
        <w:rPr>
          <w:sz w:val="24"/>
          <w:cs/>
          <w:lang w:val="mn-MN"/>
        </w:rPr>
        <w:t>Байгууллагын танилцуулга</w:t>
      </w:r>
    </w:p>
    <w:p>
      <w:pPr>
        <w:ind w:left="480" w:firstLine="600" w:firstLineChars="250"/>
        <w:rPr>
          <w:sz w:val="24"/>
        </w:rPr>
      </w:pPr>
      <w:r>
        <w:rPr>
          <w:sz w:val="24"/>
        </w:rPr>
        <w:t>单位简况</w:t>
      </w:r>
    </w:p>
    <w:p>
      <w:pPr>
        <w:numPr>
          <w:ilvl w:val="0"/>
          <w:numId w:val="24"/>
        </w:numPr>
        <w:ind w:left="480" w:firstLine="843"/>
        <w:rPr>
          <w:sz w:val="24"/>
        </w:rPr>
      </w:pPr>
      <w:r>
        <w:rPr>
          <w:sz w:val="24"/>
          <w:cs/>
          <w:lang w:val="mn-MN"/>
        </w:rPr>
        <w:t>Байгууллагын бүтэц, бүрэлдхүүн</w:t>
      </w:r>
    </w:p>
    <w:p>
      <w:pPr>
        <w:ind w:left="480" w:firstLine="600" w:firstLineChars="250"/>
        <w:rPr>
          <w:sz w:val="24"/>
        </w:rPr>
      </w:pPr>
      <w:r>
        <w:rPr>
          <w:sz w:val="24"/>
        </w:rPr>
        <w:t>单位组织机构</w:t>
      </w:r>
    </w:p>
    <w:p>
      <w:pPr>
        <w:numPr>
          <w:ilvl w:val="0"/>
          <w:numId w:val="24"/>
        </w:numPr>
        <w:ind w:left="480" w:firstLine="843"/>
        <w:rPr>
          <w:sz w:val="24"/>
        </w:rPr>
      </w:pPr>
      <w:r>
        <w:rPr>
          <w:sz w:val="24"/>
          <w:cs/>
          <w:lang w:val="mn-MN"/>
        </w:rPr>
        <w:t>Байгууллагын ажилтны тоо, үүнд мэргэшисэн ажилтны мэдээлэл болон ажилтны тоо, бүрэлдэхүүний харьцаа</w:t>
      </w:r>
    </w:p>
    <w:p>
      <w:pPr>
        <w:ind w:left="480" w:firstLine="480" w:firstLineChars="200"/>
        <w:rPr>
          <w:sz w:val="24"/>
        </w:rPr>
      </w:pPr>
      <w:r>
        <w:rPr>
          <w:sz w:val="24"/>
        </w:rPr>
        <w:t>单位职工总数，其中各级技术人员的情况、人数和组成比例</w:t>
      </w:r>
    </w:p>
    <w:p>
      <w:pPr>
        <w:ind w:left="480" w:firstLine="360" w:firstLineChars="150"/>
        <w:rPr>
          <w:sz w:val="24"/>
          <w:lang w:val="mn-MN"/>
        </w:rPr>
      </w:pPr>
      <w:r>
        <w:rPr>
          <w:sz w:val="24"/>
        </w:rPr>
        <w:t>1.3</w:t>
      </w:r>
      <w:r>
        <w:rPr>
          <w:sz w:val="24"/>
          <w:cs/>
          <w:lang w:val="mn-MN"/>
        </w:rPr>
        <w:t xml:space="preserve"> Байгууллагын давуу тал болон онцлог</w:t>
      </w:r>
    </w:p>
    <w:p>
      <w:pPr>
        <w:ind w:left="480" w:firstLine="360" w:firstLineChars="150"/>
        <w:rPr>
          <w:sz w:val="24"/>
        </w:rPr>
      </w:pPr>
      <w:r>
        <w:rPr>
          <w:sz w:val="24"/>
        </w:rPr>
        <w:t>单位的优势及特长</w:t>
      </w:r>
    </w:p>
    <w:p>
      <w:pPr>
        <w:numPr>
          <w:ilvl w:val="0"/>
          <w:numId w:val="23"/>
        </w:numPr>
        <w:ind w:left="480" w:firstLine="840"/>
        <w:rPr>
          <w:b/>
          <w:bCs/>
          <w:sz w:val="24"/>
        </w:rPr>
      </w:pPr>
      <w:r>
        <w:rPr>
          <w:b/>
          <w:bCs/>
          <w:sz w:val="24"/>
          <w:cs/>
          <w:lang w:val="mn-MN"/>
        </w:rPr>
        <w:t xml:space="preserve">Санхүүгийн байдал </w:t>
      </w:r>
      <w:r>
        <w:rPr>
          <w:b/>
          <w:bCs/>
          <w:sz w:val="24"/>
          <w:lang w:val="en-GB"/>
        </w:rPr>
        <w:t>(</w:t>
      </w:r>
      <w:r>
        <w:rPr>
          <w:b/>
          <w:bCs/>
          <w:sz w:val="24"/>
          <w:cs/>
          <w:lang w:val="mn-MN"/>
        </w:rPr>
        <w:t xml:space="preserve">энэ жилийн болон жилийн эцсийн санхүүгийн тайлан, </w:t>
      </w:r>
      <w:r>
        <w:rPr>
          <w:b/>
          <w:bCs/>
          <w:sz w:val="24"/>
          <w:lang w:val="en-GB"/>
        </w:rPr>
        <w:t>)</w:t>
      </w:r>
    </w:p>
    <w:p>
      <w:pPr>
        <w:ind w:left="480" w:firstLine="120" w:firstLineChars="50"/>
        <w:rPr>
          <w:b/>
          <w:bCs/>
          <w:sz w:val="24"/>
        </w:rPr>
      </w:pPr>
      <w:r>
        <w:rPr>
          <w:b/>
          <w:bCs/>
          <w:sz w:val="24"/>
        </w:rPr>
        <w:t>财务状况（本招标年度上一年年末财务数据；金额单位万元，保留小数点后两位）</w:t>
      </w:r>
    </w:p>
    <w:p>
      <w:pPr>
        <w:ind w:left="480" w:firstLine="964"/>
        <w:rPr>
          <w:sz w:val="24"/>
          <w:lang w:val="mn-MN"/>
        </w:rPr>
      </w:pPr>
      <w:r>
        <w:rPr>
          <w:sz w:val="24"/>
        </w:rPr>
        <w:t>2.1</w:t>
      </w:r>
      <w:r>
        <w:rPr>
          <w:sz w:val="24"/>
          <w:cs/>
          <w:lang w:val="mn-MN"/>
        </w:rPr>
        <w:t xml:space="preserve"> Үндсэн мэдээлэл</w:t>
      </w:r>
    </w:p>
    <w:p>
      <w:pPr>
        <w:ind w:left="480" w:firstLine="964"/>
        <w:rPr>
          <w:sz w:val="24"/>
        </w:rPr>
      </w:pPr>
      <w:r>
        <w:rPr>
          <w:sz w:val="24"/>
        </w:rPr>
        <w:t xml:space="preserve">基本资料                                            </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549" w:type="dxa"/>
            <w:tcBorders>
              <w:top w:val="single" w:color="auto" w:sz="12" w:space="0"/>
              <w:left w:val="nil"/>
              <w:bottom w:val="single" w:color="auto" w:sz="12" w:space="0"/>
              <w:right w:val="nil"/>
            </w:tcBorders>
          </w:tcPr>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Хөрөнгийн нийт хэмжээ: </w:t>
            </w:r>
          </w:p>
          <w:p>
            <w:pPr>
              <w:keepNext w:val="0"/>
              <w:keepLines w:val="0"/>
              <w:suppressLineNumbers w:val="0"/>
              <w:spacing w:before="0" w:beforeAutospacing="0" w:after="0" w:afterAutospacing="0"/>
              <w:ind w:left="480" w:right="0" w:firstLine="964"/>
              <w:rPr>
                <w:rFonts w:hint="default"/>
                <w:sz w:val="24"/>
              </w:rPr>
            </w:pPr>
            <w:r>
              <w:rPr>
                <w:rFonts w:hint="default"/>
                <w:sz w:val="24"/>
              </w:rPr>
              <w:t>资产总额：</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Үүнд: эргэлтийн хөрөнгө </w:t>
            </w:r>
          </w:p>
          <w:p>
            <w:pPr>
              <w:keepNext w:val="0"/>
              <w:keepLines w:val="0"/>
              <w:suppressLineNumbers w:val="0"/>
              <w:spacing w:before="0" w:beforeAutospacing="0" w:after="0" w:afterAutospacing="0"/>
              <w:ind w:left="480" w:right="0" w:firstLine="964"/>
              <w:rPr>
                <w:rFonts w:hint="default"/>
                <w:sz w:val="24"/>
              </w:rPr>
            </w:pPr>
            <w:r>
              <w:rPr>
                <w:rFonts w:hint="default"/>
                <w:sz w:val="24"/>
              </w:rPr>
              <w:t>其中：流动资产：</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        Үндсэн хөрөнгө: </w:t>
            </w:r>
          </w:p>
          <w:p>
            <w:pPr>
              <w:keepNext w:val="0"/>
              <w:keepLines w:val="0"/>
              <w:suppressLineNumbers w:val="0"/>
              <w:spacing w:before="0" w:beforeAutospacing="0" w:after="0" w:afterAutospacing="0"/>
              <w:ind w:left="480" w:right="0" w:firstLine="720" w:firstLineChars="300"/>
              <w:rPr>
                <w:rFonts w:hint="default"/>
                <w:sz w:val="24"/>
              </w:rPr>
            </w:pPr>
            <w:r>
              <w:rPr>
                <w:rFonts w:hint="default"/>
                <w:sz w:val="24"/>
              </w:rPr>
              <w:t>固定资产：原值   净值</w:t>
            </w:r>
          </w:p>
          <w:p>
            <w:pPr>
              <w:keepNext w:val="0"/>
              <w:keepLines w:val="0"/>
              <w:suppressLineNumbers w:val="0"/>
              <w:spacing w:before="0" w:beforeAutospacing="0" w:after="0" w:afterAutospacing="0"/>
              <w:ind w:left="480" w:right="0"/>
              <w:rPr>
                <w:rFonts w:hint="default"/>
                <w:sz w:val="24"/>
                <w:lang w:val="mn-MN"/>
              </w:rPr>
            </w:pPr>
            <w:r>
              <w:rPr>
                <w:rFonts w:hint="default"/>
                <w:sz w:val="24"/>
                <w:cs/>
                <w:lang w:val="mn-MN"/>
              </w:rPr>
              <w:t xml:space="preserve">  Зээлийн нийт дүн:</w:t>
            </w:r>
          </w:p>
          <w:p>
            <w:pPr>
              <w:keepNext w:val="0"/>
              <w:keepLines w:val="0"/>
              <w:suppressLineNumbers w:val="0"/>
              <w:spacing w:before="0" w:beforeAutospacing="0" w:after="0" w:afterAutospacing="0"/>
              <w:ind w:left="480" w:right="0" w:firstLine="964"/>
              <w:rPr>
                <w:rFonts w:hint="default"/>
                <w:sz w:val="24"/>
              </w:rPr>
            </w:pPr>
            <w:r>
              <w:rPr>
                <w:rFonts w:hint="default"/>
                <w:sz w:val="24"/>
              </w:rPr>
              <w:t>负债总额：</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Эргэлтийн зээл:        үүнд: Банкны зээл</w:t>
            </w:r>
          </w:p>
          <w:p>
            <w:pPr>
              <w:keepNext w:val="0"/>
              <w:keepLines w:val="0"/>
              <w:suppressLineNumbers w:val="0"/>
              <w:spacing w:before="0" w:beforeAutospacing="0" w:after="0" w:afterAutospacing="0"/>
              <w:ind w:left="480" w:right="0" w:firstLine="964"/>
              <w:rPr>
                <w:rFonts w:hint="default"/>
                <w:sz w:val="24"/>
              </w:rPr>
            </w:pPr>
            <w:r>
              <w:rPr>
                <w:rFonts w:hint="default"/>
                <w:sz w:val="24"/>
              </w:rPr>
              <w:t>流动负债：    其中：银行借款：</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Урт хугацааны зээл:        үүнд: Банкны зээл</w:t>
            </w:r>
          </w:p>
          <w:p>
            <w:pPr>
              <w:keepNext w:val="0"/>
              <w:keepLines w:val="0"/>
              <w:suppressLineNumbers w:val="0"/>
              <w:spacing w:before="0" w:beforeAutospacing="0" w:after="0" w:afterAutospacing="0"/>
              <w:ind w:left="480" w:right="0" w:firstLine="964"/>
              <w:rPr>
                <w:rFonts w:hint="default"/>
                <w:sz w:val="24"/>
              </w:rPr>
            </w:pPr>
            <w:r>
              <w:rPr>
                <w:rFonts w:hint="default"/>
                <w:sz w:val="24"/>
              </w:rPr>
              <w:t>长期负债：    其中：银行借款：</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Цэвэр хөрөнгө:      үүнд: бодит хөрөнгө </w:t>
            </w:r>
            <w:r>
              <w:rPr>
                <w:rFonts w:hint="default"/>
                <w:sz w:val="24"/>
                <w:lang w:val="en-GB"/>
              </w:rPr>
              <w:t>(</w:t>
            </w:r>
            <w:r>
              <w:rPr>
                <w:rFonts w:hint="default"/>
                <w:sz w:val="24"/>
                <w:cs/>
                <w:lang w:val="mn-MN"/>
              </w:rPr>
              <w:t>эсвэл хувьцаа</w:t>
            </w:r>
            <w:r>
              <w:rPr>
                <w:rFonts w:hint="default"/>
                <w:sz w:val="24"/>
                <w:lang w:val="en-GB"/>
              </w:rPr>
              <w:t xml:space="preserve"> )</w:t>
            </w:r>
          </w:p>
          <w:p>
            <w:pPr>
              <w:keepNext w:val="0"/>
              <w:keepLines w:val="0"/>
              <w:suppressLineNumbers w:val="0"/>
              <w:spacing w:before="0" w:beforeAutospacing="0" w:after="0" w:afterAutospacing="0"/>
              <w:ind w:left="480" w:right="0" w:firstLine="964"/>
              <w:rPr>
                <w:rFonts w:hint="default"/>
                <w:sz w:val="24"/>
              </w:rPr>
            </w:pPr>
            <w:r>
              <w:rPr>
                <w:rFonts w:hint="default"/>
                <w:sz w:val="24"/>
              </w:rPr>
              <w:t>净资产：    其中：实收资本（或股本）：</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Үйл ажиллагааны гол орлого </w:t>
            </w:r>
            <w:r>
              <w:rPr>
                <w:rFonts w:hint="default"/>
                <w:sz w:val="24"/>
                <w:lang w:val="en-GB"/>
              </w:rPr>
              <w:t>(</w:t>
            </w:r>
            <w:r>
              <w:rPr>
                <w:rFonts w:hint="default"/>
                <w:sz w:val="24"/>
                <w:cs/>
                <w:lang w:val="mn-MN"/>
              </w:rPr>
              <w:t>жилийн нийт дүн</w:t>
            </w:r>
            <w:r>
              <w:rPr>
                <w:rFonts w:hint="default"/>
                <w:sz w:val="24"/>
                <w:lang w:val="en-GB"/>
              </w:rPr>
              <w:t>)</w:t>
            </w:r>
            <w:r>
              <w:rPr>
                <w:rFonts w:hint="default"/>
                <w:sz w:val="24"/>
                <w:cs/>
                <w:lang w:val="mn-MN"/>
              </w:rPr>
              <w:t>:</w:t>
            </w:r>
          </w:p>
          <w:p>
            <w:pPr>
              <w:keepNext w:val="0"/>
              <w:keepLines w:val="0"/>
              <w:suppressLineNumbers w:val="0"/>
              <w:spacing w:before="0" w:beforeAutospacing="0" w:after="0" w:afterAutospacing="0"/>
              <w:ind w:left="480" w:right="0" w:firstLine="964"/>
              <w:rPr>
                <w:rFonts w:hint="default"/>
                <w:sz w:val="24"/>
              </w:rPr>
            </w:pPr>
            <w:r>
              <w:rPr>
                <w:rFonts w:hint="default"/>
                <w:sz w:val="24"/>
              </w:rPr>
              <w:t>主营业务收入（年度累计）：</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Ашгийн хэмжээ </w:t>
            </w:r>
            <w:r>
              <w:rPr>
                <w:rFonts w:hint="default"/>
                <w:sz w:val="24"/>
                <w:lang w:val="en-GB"/>
              </w:rPr>
              <w:t>(</w:t>
            </w:r>
            <w:r>
              <w:rPr>
                <w:rFonts w:hint="default"/>
                <w:sz w:val="24"/>
                <w:cs/>
                <w:lang w:val="mn-MN"/>
              </w:rPr>
              <w:t>жилийн нийт дүн</w:t>
            </w:r>
            <w:r>
              <w:rPr>
                <w:rFonts w:hint="default"/>
                <w:sz w:val="24"/>
                <w:lang w:val="en-GB"/>
              </w:rPr>
              <w:t>)</w:t>
            </w:r>
            <w:r>
              <w:rPr>
                <w:rFonts w:hint="default"/>
                <w:sz w:val="24"/>
                <w:cs/>
                <w:lang w:val="mn-MN"/>
              </w:rPr>
              <w:t>:</w:t>
            </w:r>
          </w:p>
          <w:p>
            <w:pPr>
              <w:keepNext w:val="0"/>
              <w:keepLines w:val="0"/>
              <w:suppressLineNumbers w:val="0"/>
              <w:spacing w:before="0" w:beforeAutospacing="0" w:after="0" w:afterAutospacing="0"/>
              <w:ind w:left="480" w:right="0" w:firstLine="964"/>
              <w:rPr>
                <w:rFonts w:hint="default"/>
                <w:sz w:val="24"/>
              </w:rPr>
            </w:pPr>
            <w:r>
              <w:rPr>
                <w:rFonts w:hint="default"/>
                <w:sz w:val="24"/>
              </w:rPr>
              <w:t>利润总额（年度累计）：</w:t>
            </w:r>
          </w:p>
          <w:p>
            <w:pPr>
              <w:keepNext w:val="0"/>
              <w:keepLines w:val="0"/>
              <w:suppressLineNumbers w:val="0"/>
              <w:spacing w:before="0" w:beforeAutospacing="0" w:after="0" w:afterAutospacing="0"/>
              <w:ind w:left="480" w:right="0" w:firstLine="843"/>
              <w:rPr>
                <w:rFonts w:hint="default"/>
                <w:sz w:val="24"/>
                <w:lang w:val="mn-MN"/>
              </w:rPr>
            </w:pPr>
            <w:r>
              <w:rPr>
                <w:rFonts w:hint="default"/>
                <w:sz w:val="24"/>
                <w:cs/>
                <w:lang w:val="mn-MN"/>
              </w:rPr>
              <w:t xml:space="preserve">Үйлдвэрлэлийн өртөг:  </w:t>
            </w:r>
            <w:r>
              <w:rPr>
                <w:rFonts w:hint="default"/>
                <w:sz w:val="24"/>
                <w:lang w:val="en-GB"/>
              </w:rPr>
              <w:t>(</w:t>
            </w:r>
            <w:r>
              <w:rPr>
                <w:rFonts w:hint="default"/>
                <w:sz w:val="24"/>
                <w:cs/>
                <w:lang w:val="mn-MN"/>
              </w:rPr>
              <w:t>одооны үнэ, жилийн нийт дүн</w:t>
            </w:r>
            <w:r>
              <w:rPr>
                <w:rFonts w:hint="default"/>
                <w:sz w:val="24"/>
                <w:lang w:val="en-GB"/>
              </w:rPr>
              <w:t>)</w:t>
            </w:r>
          </w:p>
          <w:p>
            <w:pPr>
              <w:keepNext w:val="0"/>
              <w:keepLines w:val="0"/>
              <w:suppressLineNumbers w:val="0"/>
              <w:spacing w:before="0" w:beforeAutospacing="0" w:after="0" w:afterAutospacing="0"/>
              <w:ind w:left="480" w:right="0" w:firstLine="964"/>
              <w:rPr>
                <w:rFonts w:hint="default"/>
                <w:sz w:val="24"/>
                <w:u w:val="single"/>
              </w:rPr>
            </w:pPr>
            <w:r>
              <w:rPr>
                <w:rFonts w:hint="default"/>
                <w:sz w:val="24"/>
              </w:rPr>
              <w:t>产值（现价，年度累计）：</w:t>
            </w:r>
          </w:p>
        </w:tc>
      </w:tr>
    </w:tbl>
    <w:p>
      <w:pPr>
        <w:spacing w:before="156" w:beforeLines="50"/>
        <w:ind w:left="480" w:firstLine="470" w:firstLineChars="196"/>
        <w:rPr>
          <w:sz w:val="24"/>
          <w:lang w:val="mn-MN"/>
        </w:rPr>
      </w:pPr>
      <w:r>
        <w:rPr>
          <w:sz w:val="24"/>
        </w:rPr>
        <w:t xml:space="preserve">2.2 </w:t>
      </w:r>
      <w:r>
        <w:rPr>
          <w:sz w:val="24"/>
          <w:cs/>
          <w:lang w:val="mn-MN"/>
        </w:rPr>
        <w:t xml:space="preserve">Ойрын 3 жилийн үйлдвэрлэлийн нийт өртөг болон борлуулалтын ашиг, эрх бүхий гуравдагч байгууллагын сүүлийн 3 жилийн аудитын тайлан, гуравдагч талын улсын бүртгэлийн гэрчилгээ. </w:t>
      </w:r>
    </w:p>
    <w:p>
      <w:pPr>
        <w:spacing w:before="156" w:beforeLines="50"/>
        <w:ind w:left="480" w:firstLine="472" w:firstLineChars="196"/>
        <w:rPr>
          <w:sz w:val="24"/>
        </w:rPr>
      </w:pPr>
      <w:r>
        <w:rPr>
          <w:b/>
          <w:sz w:val="24"/>
        </w:rPr>
        <w:t>近三年</w:t>
      </w:r>
      <w:r>
        <w:rPr>
          <w:sz w:val="24"/>
        </w:rPr>
        <w:t>的工业总产值和销售利润，有资质的独立第三方提供的近3年度审计报表，并提供独立第三方资质文件；</w:t>
      </w:r>
    </w:p>
    <w:p>
      <w:pPr>
        <w:spacing w:before="156" w:beforeLines="50"/>
        <w:ind w:left="480" w:firstLine="480" w:firstLineChars="200"/>
        <w:rPr>
          <w:sz w:val="24"/>
          <w:lang w:val="mn-MN"/>
        </w:rPr>
      </w:pPr>
      <w:r>
        <w:rPr>
          <w:sz w:val="24"/>
        </w:rPr>
        <w:t>2.3</w:t>
      </w:r>
      <w:r>
        <w:rPr>
          <w:sz w:val="24"/>
          <w:cs/>
          <w:lang w:val="mn-MN"/>
        </w:rPr>
        <w:t xml:space="preserve"> Байгуулгын данс, харилцах банкны нэр, хаяг:</w:t>
      </w:r>
    </w:p>
    <w:p>
      <w:pPr>
        <w:spacing w:before="156" w:beforeLines="50"/>
        <w:ind w:left="480" w:firstLine="480" w:firstLineChars="200"/>
        <w:rPr>
          <w:sz w:val="24"/>
        </w:rPr>
      </w:pPr>
      <w:r>
        <w:rPr>
          <w:sz w:val="24"/>
        </w:rPr>
        <w:t>企业开户行、关系行的银行名称、地址：</w:t>
      </w:r>
    </w:p>
    <w:p>
      <w:pPr>
        <w:ind w:left="480" w:firstLine="516" w:firstLineChars="214"/>
        <w:rPr>
          <w:b/>
          <w:bCs/>
          <w:sz w:val="24"/>
        </w:rPr>
      </w:pPr>
      <w:r>
        <w:rPr>
          <w:b/>
          <w:bCs/>
          <w:sz w:val="24"/>
        </w:rPr>
        <w:br w:type="page"/>
      </w:r>
    </w:p>
    <w:p>
      <w:pPr>
        <w:widowControl/>
        <w:spacing w:line="360" w:lineRule="auto"/>
        <w:ind w:left="480" w:firstLine="843"/>
        <w:rPr>
          <w:b/>
          <w:sz w:val="24"/>
          <w:lang w:val="mn-MN"/>
        </w:rPr>
      </w:pPr>
      <w:r>
        <w:rPr>
          <w:b/>
          <w:sz w:val="24"/>
          <w:cs/>
          <w:lang w:val="mn-MN"/>
        </w:rPr>
        <w:t>Гурав Бусад материал</w:t>
      </w:r>
    </w:p>
    <w:p>
      <w:pPr>
        <w:widowControl/>
        <w:spacing w:line="360" w:lineRule="auto"/>
        <w:ind w:left="480" w:firstLine="960"/>
        <w:rPr>
          <w:b/>
          <w:sz w:val="24"/>
        </w:rPr>
      </w:pPr>
      <w:r>
        <w:rPr>
          <w:b/>
          <w:sz w:val="24"/>
        </w:rPr>
        <w:t>三  其他资料</w:t>
      </w:r>
    </w:p>
    <w:p>
      <w:pPr>
        <w:spacing w:line="360" w:lineRule="auto"/>
        <w:ind w:left="480" w:firstLine="480" w:firstLineChars="200"/>
        <w:rPr>
          <w:bCs/>
          <w:sz w:val="24"/>
          <w:lang w:val="mn-MN"/>
        </w:rPr>
      </w:pPr>
      <w:r>
        <w:rPr>
          <w:bCs/>
          <w:sz w:val="24"/>
        </w:rPr>
        <w:t>（1）</w:t>
      </w:r>
      <w:r>
        <w:rPr>
          <w:bCs/>
          <w:sz w:val="24"/>
          <w:cs/>
          <w:lang w:val="mn-MN"/>
        </w:rPr>
        <w:t>Байгууллагын дэлгэрэнгүй танилцуулга</w:t>
      </w:r>
    </w:p>
    <w:p>
      <w:pPr>
        <w:spacing w:line="360" w:lineRule="auto"/>
        <w:ind w:left="480" w:firstLine="480" w:firstLineChars="200"/>
        <w:rPr>
          <w:bCs/>
          <w:sz w:val="24"/>
        </w:rPr>
      </w:pPr>
      <w:r>
        <w:rPr>
          <w:bCs/>
          <w:sz w:val="24"/>
        </w:rPr>
        <w:t xml:space="preserve">详细的企业介绍； </w:t>
      </w:r>
    </w:p>
    <w:p>
      <w:pPr>
        <w:numPr>
          <w:ilvl w:val="0"/>
          <w:numId w:val="22"/>
        </w:numPr>
        <w:spacing w:line="360" w:lineRule="auto"/>
        <w:ind w:left="480" w:firstLine="480" w:firstLineChars="200"/>
        <w:rPr>
          <w:sz w:val="24"/>
          <w:cs/>
          <w:lang w:val="mn-MN"/>
        </w:rPr>
      </w:pPr>
      <w:r>
        <w:rPr>
          <w:sz w:val="24"/>
          <w:cs/>
        </w:rPr>
        <w:t>М</w:t>
      </w:r>
      <w:r>
        <w:rPr>
          <w:sz w:val="24"/>
          <w:lang w:val="mn-MN"/>
        </w:rPr>
        <w:t>У</w:t>
      </w:r>
      <w:r>
        <w:rPr>
          <w:sz w:val="24"/>
          <w:cs/>
        </w:rPr>
        <w:t xml:space="preserve">-н бараа материал тээвэрлэлтийн шаардлага хангах, машины улсын дугаар, стандарт холбогдох засгийн газрийн байгууллагын зөвшөөрөл </w:t>
      </w:r>
      <w:r>
        <w:rPr>
          <w:sz w:val="24"/>
          <w:lang w:val="en-GB"/>
        </w:rPr>
        <w:t>(</w:t>
      </w:r>
      <w:r>
        <w:rPr>
          <w:sz w:val="24"/>
        </w:rPr>
        <w:t>засгийн газар зам тээвэр зэрэг яамны журамаар хягаарлагдахгүй</w:t>
      </w:r>
      <w:r>
        <w:rPr>
          <w:sz w:val="24"/>
          <w:lang w:val="en-GB"/>
        </w:rPr>
        <w:t>)</w:t>
      </w:r>
      <w:r>
        <w:rPr>
          <w:sz w:val="24"/>
        </w:rPr>
        <w:t xml:space="preserve"> баталгаажуулах </w:t>
      </w:r>
      <w:r>
        <w:rPr>
          <w:sz w:val="24"/>
          <w:lang w:val="en-GB"/>
        </w:rPr>
        <w:t>(</w:t>
      </w:r>
      <w:r>
        <w:rPr>
          <w:sz w:val="24"/>
          <w:cs/>
        </w:rPr>
        <w:t>хуулбар дээр тамга дарах</w:t>
      </w:r>
      <w:r>
        <w:rPr>
          <w:sz w:val="24"/>
          <w:lang w:val="en-GB"/>
        </w:rPr>
        <w:t>)</w:t>
      </w:r>
      <w:r>
        <w:rPr>
          <w:sz w:val="24"/>
          <w:cs/>
          <w:lang w:val="mn-MN"/>
        </w:rPr>
        <w:t xml:space="preserve">                                      </w:t>
      </w:r>
    </w:p>
    <w:p>
      <w:pPr>
        <w:spacing w:line="360" w:lineRule="auto"/>
        <w:ind w:left="420" w:leftChars="200" w:firstLine="420" w:firstLineChars="175"/>
        <w:rPr>
          <w:bCs/>
          <w:sz w:val="24"/>
        </w:rPr>
      </w:pPr>
      <w:r>
        <w:rPr>
          <w:bCs/>
          <w:sz w:val="24"/>
        </w:rPr>
        <w:t>乙方具备在蒙古国从事货物运输的资格，车辆型号、规格获得相关政府机构（包括但不限于政府、交通运输等部门规定）批准，（复印件需加盖公章）；</w:t>
      </w:r>
    </w:p>
    <w:p>
      <w:pPr>
        <w:spacing w:line="360" w:lineRule="auto"/>
        <w:ind w:left="480" w:firstLine="480" w:firstLineChars="200"/>
        <w:rPr>
          <w:bCs/>
          <w:sz w:val="24"/>
          <w:lang w:val="mn-MN"/>
        </w:rPr>
      </w:pPr>
      <w:r>
        <w:rPr>
          <w:bCs/>
          <w:sz w:val="24"/>
        </w:rPr>
        <w:t>（3）</w:t>
      </w:r>
      <w:r>
        <w:rPr>
          <w:sz w:val="24"/>
          <w:cs/>
        </w:rPr>
        <w:t xml:space="preserve">Б талын тээвэрлэлт хийх машины даац болон МУ-н холбогдох стандартын шаардлагыг хангах, түүнчлэн машины бүрэн бүтэн байдал болон машины техникийн шаардлага </w:t>
      </w:r>
      <w:r>
        <w:rPr>
          <w:sz w:val="24"/>
          <w:lang w:val="en-GB"/>
        </w:rPr>
        <w:t>(</w:t>
      </w:r>
      <w:r>
        <w:rPr>
          <w:sz w:val="24"/>
          <w:cs/>
        </w:rPr>
        <w:t xml:space="preserve">тээвэрлэлт хийх тоног төхөөрөмж, техникийн журам </w:t>
      </w:r>
      <w:r>
        <w:rPr>
          <w:sz w:val="24"/>
          <w:lang w:val="en-GB"/>
        </w:rPr>
        <w:t>)</w:t>
      </w:r>
      <w:r>
        <w:rPr>
          <w:sz w:val="24"/>
        </w:rPr>
        <w:t xml:space="preserve">-г </w:t>
      </w:r>
      <w:r>
        <w:rPr>
          <w:sz w:val="24"/>
          <w:cs/>
        </w:rPr>
        <w:t xml:space="preserve"> </w:t>
      </w:r>
      <w:r>
        <w:rPr>
          <w:color w:val="000000"/>
          <w:sz w:val="24"/>
        </w:rPr>
        <w:t xml:space="preserve">MNS4598:2020 </w:t>
      </w:r>
      <w:r>
        <w:rPr>
          <w:sz w:val="24"/>
          <w:cs/>
        </w:rPr>
        <w:t>хангасан байна.</w:t>
      </w:r>
      <w:r>
        <w:rPr>
          <w:bCs/>
          <w:sz w:val="24"/>
          <w:cs/>
          <w:lang w:val="mn-MN"/>
        </w:rPr>
        <w:t xml:space="preserve"> </w:t>
      </w:r>
    </w:p>
    <w:p>
      <w:pPr>
        <w:spacing w:line="360" w:lineRule="auto"/>
        <w:ind w:left="480" w:firstLine="480" w:firstLineChars="200"/>
        <w:rPr>
          <w:bCs/>
          <w:sz w:val="24"/>
        </w:rPr>
      </w:pPr>
      <w:r>
        <w:rPr>
          <w:sz w:val="24"/>
        </w:rPr>
        <w:t>乙方运输车辆载重及规格符合蒙古国相关部门要求，且车况良好，车辆技术要求符合</w:t>
      </w:r>
      <w:r>
        <w:rPr>
          <w:color w:val="000000"/>
          <w:sz w:val="24"/>
        </w:rPr>
        <w:t>《运输设备技术规范》MNS4598:2020</w:t>
      </w:r>
      <w:r>
        <w:rPr>
          <w:sz w:val="24"/>
        </w:rPr>
        <w:t>相关规定</w:t>
      </w:r>
      <w:r>
        <w:rPr>
          <w:bCs/>
          <w:sz w:val="24"/>
        </w:rPr>
        <w:t>；</w:t>
      </w:r>
    </w:p>
    <w:p>
      <w:pPr>
        <w:spacing w:line="360" w:lineRule="auto"/>
        <w:ind w:left="480" w:firstLine="480" w:firstLineChars="200"/>
        <w:rPr>
          <w:bCs/>
          <w:sz w:val="24"/>
          <w:lang w:val="mn-MN"/>
        </w:rPr>
      </w:pPr>
      <w:r>
        <w:rPr>
          <w:bCs/>
          <w:sz w:val="24"/>
        </w:rPr>
        <w:t>（4）</w:t>
      </w:r>
      <w:r>
        <w:rPr>
          <w:bCs/>
          <w:sz w:val="24"/>
          <w:cs/>
          <w:lang w:val="mn-MN"/>
        </w:rPr>
        <w:t xml:space="preserve">Тендэрт оролцогч нь сүүлийн </w:t>
      </w:r>
      <w:r>
        <w:rPr>
          <w:bCs/>
          <w:sz w:val="24"/>
        </w:rPr>
        <w:t xml:space="preserve">3 </w:t>
      </w:r>
      <w:r>
        <w:rPr>
          <w:bCs/>
          <w:sz w:val="24"/>
          <w:cs/>
          <w:lang w:val="mn-MN"/>
        </w:rPr>
        <w:t xml:space="preserve">жил ижил төрлийн үйлчилгээний  чадавхи болон тээвэрлэлтийн тайлан гаргаж өгөх </w:t>
      </w:r>
      <w:r>
        <w:rPr>
          <w:sz w:val="24"/>
          <w:cs/>
        </w:rPr>
        <w:t>,</w:t>
      </w:r>
      <w:r>
        <w:rPr>
          <w:sz w:val="24"/>
          <w:cs/>
          <w:lang w:val="mn-MN"/>
        </w:rPr>
        <w:t xml:space="preserve">  </w:t>
      </w:r>
      <w:r>
        <w:rPr>
          <w:sz w:val="24"/>
          <w:cs/>
        </w:rPr>
        <w:t>тайланд дараах мэдээлэлийг багтаана.: улсын дугаар, итгэмжилэгчийн нэр, холбоо барих хүний овог нэр, утасны дугаар зэрэг мэдээлэл</w:t>
      </w:r>
    </w:p>
    <w:p>
      <w:pPr>
        <w:spacing w:line="360" w:lineRule="auto"/>
        <w:ind w:left="480" w:firstLine="480" w:firstLineChars="200"/>
        <w:rPr>
          <w:bCs/>
          <w:sz w:val="24"/>
        </w:rPr>
      </w:pPr>
      <w:r>
        <w:rPr>
          <w:bCs/>
          <w:sz w:val="24"/>
        </w:rPr>
        <w:t>投标人</w:t>
      </w:r>
      <w:r>
        <w:rPr>
          <w:kern w:val="0"/>
          <w:sz w:val="24"/>
        </w:rPr>
        <w:t>须提供</w:t>
      </w:r>
      <w:r>
        <w:rPr>
          <w:bCs/>
          <w:kern w:val="0"/>
          <w:sz w:val="24"/>
        </w:rPr>
        <w:t>近3年同类服</w:t>
      </w:r>
      <w:r>
        <w:rPr>
          <w:kern w:val="0"/>
          <w:sz w:val="24"/>
        </w:rPr>
        <w:t>务能力和运输业绩。</w:t>
      </w:r>
      <w:r>
        <w:rPr>
          <w:bCs/>
          <w:sz w:val="24"/>
        </w:rPr>
        <w:t>业绩表中应注明：</w:t>
      </w:r>
      <w:r>
        <w:rPr>
          <w:kern w:val="0"/>
          <w:sz w:val="24"/>
        </w:rPr>
        <w:t>车辆号牌</w:t>
      </w:r>
      <w:r>
        <w:rPr>
          <w:bCs/>
          <w:sz w:val="24"/>
        </w:rPr>
        <w:t>，委托方名称、联系人姓名、电话等信息；</w:t>
      </w:r>
    </w:p>
    <w:tbl>
      <w:tblPr>
        <w:tblStyle w:val="89"/>
        <w:tblW w:w="44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3"/>
        <w:gridCol w:w="1758"/>
        <w:gridCol w:w="1416"/>
        <w:gridCol w:w="1416"/>
        <w:gridCol w:w="141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02" w:type="pct"/>
            <w:shd w:val="clear" w:color="auto" w:fill="auto"/>
            <w:vAlign w:val="center"/>
          </w:tcPr>
          <w:p>
            <w:pPr>
              <w:keepNext w:val="0"/>
              <w:keepLines w:val="0"/>
              <w:suppressLineNumbers w:val="0"/>
              <w:spacing w:before="0" w:beforeAutospacing="0" w:after="0" w:afterAutospacing="0"/>
              <w:ind w:left="0" w:right="0"/>
              <w:jc w:val="center"/>
              <w:rPr>
                <w:rFonts w:hint="default"/>
                <w:sz w:val="24"/>
                <w:lang w:val="mn-MN"/>
              </w:rPr>
            </w:pPr>
            <w:r>
              <w:rPr>
                <w:rFonts w:hint="default"/>
                <w:sz w:val="24"/>
                <w:cs/>
                <w:lang w:val="mn-MN"/>
              </w:rPr>
              <w:t>Хэрэглэх байгууллага</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使用单位</w:t>
            </w:r>
          </w:p>
        </w:tc>
        <w:tc>
          <w:tcPr>
            <w:tcW w:w="1299" w:type="pct"/>
            <w:shd w:val="clear" w:color="auto" w:fill="auto"/>
            <w:vAlign w:val="center"/>
          </w:tcPr>
          <w:p>
            <w:pPr>
              <w:keepNext w:val="0"/>
              <w:keepLines w:val="0"/>
              <w:suppressLineNumbers w:val="0"/>
              <w:spacing w:before="0" w:beforeAutospacing="0" w:after="0" w:afterAutospacing="0"/>
              <w:ind w:left="0" w:right="0"/>
              <w:jc w:val="center"/>
              <w:rPr>
                <w:rFonts w:hint="default"/>
                <w:sz w:val="24"/>
                <w:lang w:val="mn-MN"/>
              </w:rPr>
            </w:pPr>
            <w:r>
              <w:rPr>
                <w:rFonts w:hint="default"/>
                <w:sz w:val="24"/>
                <w:cs/>
                <w:lang w:val="mn-MN"/>
              </w:rPr>
              <w:t>Бүтээгдхүүний нэр стандарт</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产品名称及规格</w:t>
            </w:r>
          </w:p>
        </w:tc>
        <w:tc>
          <w:tcPr>
            <w:tcW w:w="840" w:type="pct"/>
            <w:shd w:val="clear" w:color="auto" w:fill="auto"/>
            <w:vAlign w:val="center"/>
          </w:tcPr>
          <w:p>
            <w:pPr>
              <w:keepNext w:val="0"/>
              <w:keepLines w:val="0"/>
              <w:suppressLineNumbers w:val="0"/>
              <w:spacing w:before="0" w:beforeAutospacing="0" w:after="0" w:afterAutospacing="0"/>
              <w:ind w:left="0" w:right="0"/>
              <w:jc w:val="center"/>
              <w:rPr>
                <w:rFonts w:hint="default"/>
                <w:sz w:val="24"/>
                <w:lang w:val="mn-MN"/>
              </w:rPr>
            </w:pPr>
            <w:r>
              <w:rPr>
                <w:rFonts w:hint="default"/>
                <w:sz w:val="24"/>
                <w:cs/>
                <w:lang w:val="mn-MN"/>
              </w:rPr>
              <w:t>Нийлүүлэх тоо хэмжээ</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供货数量</w:t>
            </w:r>
          </w:p>
        </w:tc>
        <w:tc>
          <w:tcPr>
            <w:tcW w:w="754" w:type="pct"/>
            <w:shd w:val="clear" w:color="auto" w:fill="auto"/>
            <w:vAlign w:val="center"/>
          </w:tcPr>
          <w:p>
            <w:pPr>
              <w:keepNext w:val="0"/>
              <w:keepLines w:val="0"/>
              <w:suppressLineNumbers w:val="0"/>
              <w:spacing w:before="0" w:beforeAutospacing="0" w:after="0" w:afterAutospacing="0"/>
              <w:ind w:left="0" w:right="0"/>
              <w:jc w:val="center"/>
              <w:rPr>
                <w:rFonts w:hint="default"/>
                <w:sz w:val="24"/>
                <w:lang w:val="mn-MN"/>
              </w:rPr>
            </w:pPr>
            <w:r>
              <w:rPr>
                <w:rFonts w:hint="default"/>
                <w:sz w:val="24"/>
                <w:cs/>
                <w:lang w:val="mn-MN"/>
              </w:rPr>
              <w:t>Холбоо барих хүн</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联系人</w:t>
            </w:r>
          </w:p>
        </w:tc>
        <w:tc>
          <w:tcPr>
            <w:tcW w:w="593" w:type="pct"/>
            <w:tcBorders>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lang w:val="mn-MN"/>
              </w:rPr>
            </w:pPr>
            <w:r>
              <w:rPr>
                <w:rFonts w:hint="default"/>
                <w:sz w:val="24"/>
                <w:cs/>
                <w:lang w:val="mn-MN"/>
              </w:rPr>
              <w:t>Утас</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电话</w:t>
            </w:r>
          </w:p>
        </w:tc>
        <w:tc>
          <w:tcPr>
            <w:tcW w:w="609" w:type="pct"/>
            <w:tcBorders>
              <w:lef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cs/>
                <w:lang w:val="mn-MN"/>
              </w:rPr>
            </w:pPr>
            <w:r>
              <w:rPr>
                <w:rFonts w:hint="default"/>
                <w:sz w:val="24"/>
                <w:cs/>
                <w:lang w:val="mn-MN"/>
              </w:rPr>
              <w:t>Жил</w:t>
            </w:r>
          </w:p>
          <w:p>
            <w:pPr>
              <w:keepNext w:val="0"/>
              <w:keepLines w:val="0"/>
              <w:suppressLineNumbers w:val="0"/>
              <w:spacing w:before="0" w:beforeAutospacing="0" w:after="0" w:afterAutospacing="0"/>
              <w:ind w:left="0" w:right="0" w:firstLine="960"/>
              <w:jc w:val="center"/>
              <w:rPr>
                <w:rFonts w:hint="default"/>
                <w:sz w:val="24"/>
              </w:rPr>
            </w:pPr>
            <w:r>
              <w:rPr>
                <w:rFonts w:hint="default"/>
                <w:sz w:val="2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1299"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840"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754"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593" w:type="pct"/>
            <w:tcBorders>
              <w:righ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609" w:type="pct"/>
            <w:tcBorders>
              <w:lef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1299"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840"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754"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593" w:type="pct"/>
            <w:tcBorders>
              <w:righ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609" w:type="pct"/>
            <w:tcBorders>
              <w:lef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1299"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840"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754" w:type="pct"/>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593" w:type="pct"/>
            <w:tcBorders>
              <w:righ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c>
          <w:tcPr>
            <w:tcW w:w="609" w:type="pct"/>
            <w:tcBorders>
              <w:left w:val="single" w:color="auto" w:sz="4" w:space="0"/>
            </w:tcBorders>
            <w:vAlign w:val="center"/>
          </w:tcPr>
          <w:p>
            <w:pPr>
              <w:keepNext w:val="0"/>
              <w:keepLines w:val="0"/>
              <w:suppressLineNumbers w:val="0"/>
              <w:spacing w:before="0" w:beforeAutospacing="0" w:after="0" w:afterAutospacing="0" w:line="360" w:lineRule="auto"/>
              <w:ind w:left="480" w:right="0" w:firstLine="480" w:firstLineChars="200"/>
              <w:rPr>
                <w:rFonts w:hint="default"/>
                <w:sz w:val="24"/>
                <w:highlight w:val="yellow"/>
              </w:rPr>
            </w:pPr>
          </w:p>
        </w:tc>
      </w:tr>
    </w:tbl>
    <w:p>
      <w:pPr>
        <w:spacing w:line="360" w:lineRule="auto"/>
        <w:ind w:left="480" w:firstLine="480" w:firstLineChars="200"/>
        <w:rPr>
          <w:bCs/>
          <w:sz w:val="24"/>
        </w:rPr>
      </w:pPr>
    </w:p>
    <w:p>
      <w:pPr>
        <w:spacing w:line="360" w:lineRule="auto"/>
        <w:ind w:left="480" w:firstLine="480" w:firstLineChars="200"/>
        <w:rPr>
          <w:bCs/>
          <w:sz w:val="24"/>
          <w:lang w:val="mn-MN"/>
        </w:rPr>
      </w:pPr>
      <w:r>
        <w:rPr>
          <w:bCs/>
          <w:sz w:val="24"/>
        </w:rPr>
        <w:t>（5）</w:t>
      </w:r>
      <w:r>
        <w:rPr>
          <w:bCs/>
          <w:sz w:val="24"/>
          <w:cs/>
          <w:lang w:val="mn-MN"/>
        </w:rPr>
        <w:t>”Сүүлийн 3 жилийн санхүүгийн мэдээлэл” нягтлан бодох бүртгэлийн газар болон аудитын байгууллагаар баталгаажуулсан санхүүгийн тайлан, эд хөрөнгө, зээлийн тайлан, бэлэн мөнгөний эргэлтийн тайлан, ашиг болон санхүүгийн мэдээлэл</w:t>
      </w:r>
    </w:p>
    <w:p>
      <w:pPr>
        <w:spacing w:line="360" w:lineRule="auto"/>
        <w:ind w:left="480" w:firstLine="480" w:firstLineChars="200"/>
        <w:rPr>
          <w:bCs/>
          <w:sz w:val="24"/>
        </w:rPr>
      </w:pPr>
      <w:r>
        <w:rPr>
          <w:bCs/>
          <w:sz w:val="24"/>
        </w:rPr>
        <w:t>“近三年财务状况表”应附经会计师事务所或审计机构审计的财务会计报表，包括资产负债表、现金流量表、利润表和财务情况说明书；</w:t>
      </w:r>
    </w:p>
    <w:p>
      <w:pPr>
        <w:numPr>
          <w:ilvl w:val="0"/>
          <w:numId w:val="25"/>
        </w:numPr>
        <w:spacing w:line="360" w:lineRule="auto"/>
        <w:ind w:left="480" w:firstLine="480" w:firstLineChars="200"/>
        <w:rPr>
          <w:bCs/>
          <w:sz w:val="24"/>
          <w:cs/>
          <w:lang w:val="mn-MN"/>
        </w:rPr>
      </w:pPr>
      <w:r>
        <w:rPr>
          <w:bCs/>
          <w:sz w:val="24"/>
          <w:cs/>
          <w:lang w:val="mn-MN"/>
        </w:rPr>
        <w:t xml:space="preserve">Байгууллага болон бүтээгдэхүүний талархалын бичиг, улс,аймаг, бүсийн гэрчилгээ </w:t>
      </w:r>
      <w:r>
        <w:rPr>
          <w:sz w:val="24"/>
          <w:lang w:val="en-GB"/>
        </w:rPr>
        <w:t>(</w:t>
      </w:r>
      <w:r>
        <w:rPr>
          <w:sz w:val="24"/>
          <w:cs/>
          <w:lang w:val="mn-MN"/>
        </w:rPr>
        <w:t>хуулбар дээр тамга дарах</w:t>
      </w:r>
      <w:r>
        <w:rPr>
          <w:sz w:val="24"/>
          <w:lang w:val="en-GB"/>
        </w:rPr>
        <w:t>)</w:t>
      </w:r>
      <w:r>
        <w:rPr>
          <w:bCs/>
          <w:sz w:val="24"/>
          <w:cs/>
          <w:lang w:val="mn-MN"/>
        </w:rPr>
        <w:t xml:space="preserve">  </w:t>
      </w:r>
    </w:p>
    <w:p>
      <w:pPr>
        <w:spacing w:line="360" w:lineRule="auto"/>
        <w:ind w:left="480" w:firstLine="480" w:firstLineChars="200"/>
        <w:rPr>
          <w:bCs/>
          <w:sz w:val="24"/>
        </w:rPr>
      </w:pPr>
      <w:r>
        <w:rPr>
          <w:bCs/>
          <w:sz w:val="24"/>
        </w:rPr>
        <w:t>企业及产品荣誉证书，</w:t>
      </w:r>
      <w:r>
        <w:rPr>
          <w:sz w:val="24"/>
        </w:rPr>
        <w:t>获国优、部优、省优证书</w:t>
      </w:r>
      <w:r>
        <w:rPr>
          <w:bCs/>
          <w:sz w:val="24"/>
        </w:rPr>
        <w:t>（复印件须加盖公章）；</w:t>
      </w:r>
    </w:p>
    <w:p>
      <w:pPr>
        <w:numPr>
          <w:ilvl w:val="0"/>
          <w:numId w:val="25"/>
        </w:numPr>
        <w:spacing w:line="400" w:lineRule="exact"/>
        <w:ind w:left="480" w:firstLine="480" w:firstLineChars="200"/>
        <w:rPr>
          <w:sz w:val="24"/>
        </w:rPr>
      </w:pPr>
      <w:r>
        <w:rPr>
          <w:sz w:val="24"/>
          <w:cs/>
          <w:lang w:val="mn-MN"/>
        </w:rPr>
        <w:t>Бүтээгдэхүүний  стандарт, онцлог, ямар түвшинд хүрсэн, дотоодын ижил төрлийн бүтээгдхүүнтэй харьцуулахад ямар давуу талтайг заавал дурьдана уу</w:t>
      </w:r>
    </w:p>
    <w:p>
      <w:pPr>
        <w:spacing w:line="400" w:lineRule="exact"/>
        <w:ind w:left="420" w:leftChars="200"/>
        <w:rPr>
          <w:sz w:val="24"/>
        </w:rPr>
      </w:pPr>
      <w:r>
        <w:rPr>
          <w:sz w:val="24"/>
          <w:cs/>
          <w:lang w:val="mn-MN"/>
        </w:rPr>
        <w:t xml:space="preserve"> </w:t>
      </w:r>
      <w:r>
        <w:rPr>
          <w:sz w:val="24"/>
        </w:rPr>
        <w:t>产品标准、产品特点，达到什么水平、与国内同类产品对比有何优越性；</w:t>
      </w:r>
    </w:p>
    <w:p>
      <w:pPr>
        <w:spacing w:line="360" w:lineRule="auto"/>
        <w:ind w:left="480" w:firstLine="480" w:firstLineChars="200"/>
        <w:rPr>
          <w:bCs/>
          <w:sz w:val="24"/>
          <w:lang w:val="mn-MN"/>
        </w:rPr>
      </w:pPr>
      <w:r>
        <w:rPr>
          <w:bCs/>
          <w:sz w:val="24"/>
        </w:rPr>
        <w:t>（8）</w:t>
      </w:r>
      <w:r>
        <w:rPr>
          <w:bCs/>
          <w:sz w:val="24"/>
          <w:cs/>
          <w:lang w:val="mn-MN"/>
        </w:rPr>
        <w:t>Гэрээний хэрэгжилттэй хобоотой баталгаа</w:t>
      </w:r>
    </w:p>
    <w:p>
      <w:pPr>
        <w:spacing w:line="360" w:lineRule="auto"/>
        <w:ind w:left="480" w:firstLine="840" w:firstLineChars="350"/>
        <w:rPr>
          <w:bCs/>
          <w:sz w:val="24"/>
        </w:rPr>
      </w:pPr>
      <w:r>
        <w:rPr>
          <w:bCs/>
          <w:sz w:val="24"/>
        </w:rPr>
        <w:t>履约信用证明；</w:t>
      </w:r>
    </w:p>
    <w:p>
      <w:pPr>
        <w:spacing w:line="400" w:lineRule="exact"/>
        <w:ind w:left="480" w:firstLine="480" w:firstLineChars="200"/>
        <w:rPr>
          <w:bCs/>
          <w:sz w:val="24"/>
          <w:lang w:val="mn-MN"/>
        </w:rPr>
      </w:pPr>
      <w:r>
        <w:rPr>
          <w:bCs/>
          <w:sz w:val="24"/>
        </w:rPr>
        <w:t>（9）</w:t>
      </w:r>
      <w:r>
        <w:rPr>
          <w:bCs/>
          <w:sz w:val="24"/>
          <w:cs/>
          <w:lang w:val="mn-MN"/>
        </w:rPr>
        <w:t xml:space="preserve"> Тээвэр хийгдсэний дараах үйлчилгээний амлалт </w:t>
      </w:r>
      <w:r>
        <w:rPr>
          <w:sz w:val="24"/>
          <w:lang w:val="en-GB"/>
        </w:rPr>
        <w:t>(</w:t>
      </w:r>
      <w:r>
        <w:rPr>
          <w:sz w:val="24"/>
          <w:cs/>
          <w:lang w:val="mn-MN"/>
        </w:rPr>
        <w:t xml:space="preserve">үйлчилгээний агуулга, цаг хугацааны нөлөөлөл зэрэг </w:t>
      </w:r>
      <w:r>
        <w:rPr>
          <w:sz w:val="24"/>
          <w:lang w:val="en-GB"/>
        </w:rPr>
        <w:t>)</w:t>
      </w:r>
      <w:r>
        <w:rPr>
          <w:bCs/>
          <w:sz w:val="24"/>
          <w:cs/>
          <w:lang w:val="mn-MN"/>
        </w:rPr>
        <w:t xml:space="preserve">  </w:t>
      </w:r>
    </w:p>
    <w:p>
      <w:pPr>
        <w:spacing w:line="400" w:lineRule="exact"/>
        <w:ind w:left="480" w:firstLine="480" w:firstLineChars="200"/>
        <w:rPr>
          <w:sz w:val="24"/>
        </w:rPr>
      </w:pPr>
      <w:r>
        <w:rPr>
          <w:rFonts w:hint="eastAsia"/>
          <w:sz w:val="24"/>
        </w:rPr>
        <w:t>运输</w:t>
      </w:r>
      <w:r>
        <w:rPr>
          <w:sz w:val="24"/>
        </w:rPr>
        <w:t>服务承诺（运输内容、响应时间等）</w:t>
      </w:r>
    </w:p>
    <w:p>
      <w:pPr>
        <w:ind w:left="480" w:firstLine="480" w:firstLineChars="200"/>
        <w:rPr>
          <w:bCs/>
          <w:sz w:val="24"/>
          <w:lang w:val="mn-MN"/>
        </w:rPr>
      </w:pPr>
      <w:r>
        <w:rPr>
          <w:bCs/>
          <w:sz w:val="24"/>
        </w:rPr>
        <w:t>（10）</w:t>
      </w:r>
      <w:r>
        <w:rPr>
          <w:bCs/>
          <w:sz w:val="24"/>
          <w:cs/>
          <w:lang w:val="mn-MN"/>
        </w:rPr>
        <w:t>Тендэрт оролцогчоос заавал өгөх шаардлагатай мэдэгдэл болон бичиг баримт</w:t>
      </w:r>
    </w:p>
    <w:p>
      <w:pPr>
        <w:ind w:left="480" w:firstLine="480" w:firstLineChars="200"/>
        <w:rPr>
          <w:bCs/>
          <w:sz w:val="24"/>
        </w:rPr>
      </w:pPr>
      <w:r>
        <w:rPr>
          <w:bCs/>
          <w:sz w:val="24"/>
        </w:rPr>
        <w:t>投标人认为有必要提供的声明及文件。</w:t>
      </w:r>
    </w:p>
    <w:p>
      <w:pPr>
        <w:pStyle w:val="5"/>
        <w:ind w:left="480" w:firstLine="960"/>
        <w:rPr>
          <w:sz w:val="24"/>
          <w:szCs w:val="24"/>
        </w:rPr>
        <w:sectPr>
          <w:pgSz w:w="11906" w:h="16838"/>
          <w:pgMar w:top="1440" w:right="1080" w:bottom="1440" w:left="1080" w:header="851" w:footer="850" w:gutter="0"/>
          <w:cols w:space="720" w:num="1"/>
          <w:docGrid w:type="lines" w:linePitch="312" w:charSpace="0"/>
        </w:sectPr>
      </w:pPr>
      <w:bookmarkStart w:id="136" w:name="_Toc461108867"/>
    </w:p>
    <w:bookmarkEnd w:id="136"/>
    <w:p>
      <w:pPr>
        <w:widowControl/>
        <w:ind w:left="480" w:firstLine="960"/>
        <w:rPr>
          <w:b/>
          <w:sz w:val="24"/>
        </w:rPr>
      </w:pPr>
    </w:p>
    <w:p>
      <w:pPr>
        <w:pStyle w:val="4"/>
        <w:numPr>
          <w:ilvl w:val="0"/>
          <w:numId w:val="0"/>
        </w:numPr>
        <w:rPr>
          <w:rFonts w:ascii="Times New Roman" w:hAnsi="Times New Roman" w:eastAsia="宋体" w:cs="Times New Roman"/>
          <w:sz w:val="24"/>
          <w:szCs w:val="24"/>
          <w:lang w:val="mn-MN"/>
        </w:rPr>
      </w:pPr>
      <w:bookmarkStart w:id="137" w:name="_Toc7546"/>
      <w:bookmarkStart w:id="138" w:name="_Toc183017283"/>
      <w:bookmarkStart w:id="139" w:name="_Toc77599865"/>
      <w:bookmarkStart w:id="140" w:name="_Toc461108869"/>
      <w:r>
        <w:rPr>
          <w:rFonts w:ascii="Times New Roman" w:hAnsi="Times New Roman" w:eastAsia="宋体" w:cs="Times New Roman"/>
          <w:sz w:val="24"/>
          <w:szCs w:val="24"/>
          <w:cs/>
          <w:lang w:val="mn-MN"/>
        </w:rPr>
        <w:t>Хавсралт 2 Тээвэрлэлтийн гэрээний загвар</w:t>
      </w:r>
    </w:p>
    <w:p>
      <w:pPr>
        <w:pStyle w:val="4"/>
        <w:numPr>
          <w:ilvl w:val="0"/>
          <w:numId w:val="0"/>
        </w:numPr>
        <w:rPr>
          <w:rFonts w:ascii="Times New Roman" w:hAnsi="Times New Roman" w:eastAsia="宋体" w:cs="Times New Roman"/>
          <w:sz w:val="24"/>
          <w:szCs w:val="24"/>
        </w:rPr>
      </w:pPr>
      <w:r>
        <w:rPr>
          <w:rFonts w:ascii="Times New Roman" w:hAnsi="Times New Roman" w:eastAsia="宋体" w:cs="Times New Roman"/>
          <w:sz w:val="24"/>
          <w:szCs w:val="24"/>
        </w:rPr>
        <w:t>附件2 运输合同模板</w:t>
      </w:r>
      <w:bookmarkEnd w:id="137"/>
      <w:bookmarkEnd w:id="138"/>
      <w:bookmarkEnd w:id="139"/>
      <w:bookmarkEnd w:id="140"/>
    </w:p>
    <w:p>
      <w:pPr>
        <w:ind w:left="480"/>
        <w:rPr>
          <w:sz w:val="24"/>
          <w:cs/>
          <w:lang w:val="mn-MN"/>
        </w:rPr>
      </w:pPr>
    </w:p>
    <w:p>
      <w:pPr>
        <w:ind w:left="480"/>
        <w:rPr>
          <w:rFonts w:hint="eastAsia" w:eastAsia="宋体"/>
          <w:sz w:val="24"/>
          <w:lang w:val="en-US" w:eastAsia="zh-CN"/>
        </w:rPr>
      </w:pPr>
      <w:r>
        <w:rPr>
          <w:sz w:val="24"/>
          <w:cs/>
          <w:lang w:val="mn-MN"/>
        </w:rPr>
        <w:t xml:space="preserve">Гэрээний дугаар: </w:t>
      </w:r>
      <w:r>
        <w:rPr>
          <w:rFonts w:hint="eastAsia"/>
          <w:b/>
          <w:sz w:val="24"/>
        </w:rPr>
        <w:t>XX</w:t>
      </w:r>
      <w:r>
        <w:rPr>
          <w:b/>
          <w:sz w:val="24"/>
        </w:rPr>
        <w:t>QD</w:t>
      </w:r>
      <w:r>
        <w:rPr>
          <w:rFonts w:hint="eastAsia"/>
          <w:b/>
          <w:sz w:val="24"/>
        </w:rPr>
        <w:t>YS-202</w:t>
      </w:r>
      <w:r>
        <w:rPr>
          <w:rFonts w:hint="eastAsia"/>
          <w:b/>
          <w:sz w:val="24"/>
          <w:lang w:val="en-US" w:eastAsia="zh-CN"/>
        </w:rPr>
        <w:t>6</w:t>
      </w:r>
      <w:r>
        <w:rPr>
          <w:rFonts w:hint="eastAsia"/>
          <w:b/>
          <w:sz w:val="24"/>
        </w:rPr>
        <w:t>00</w:t>
      </w:r>
      <w:r>
        <w:rPr>
          <w:rFonts w:hint="eastAsia"/>
          <w:b/>
          <w:sz w:val="24"/>
          <w:lang w:val="en-US" w:eastAsia="zh-CN"/>
        </w:rPr>
        <w:t>2</w:t>
      </w:r>
    </w:p>
    <w:p>
      <w:pPr>
        <w:spacing w:line="560" w:lineRule="exact"/>
        <w:ind w:firstLine="480" w:firstLineChars="200"/>
        <w:rPr>
          <w:rFonts w:hint="eastAsia" w:eastAsia="宋体"/>
          <w:color w:val="000000"/>
          <w:kern w:val="32"/>
          <w:sz w:val="24"/>
          <w:lang w:val="en-US" w:eastAsia="zh-CN"/>
        </w:rPr>
      </w:pPr>
      <w:r>
        <w:rPr>
          <w:color w:val="000000"/>
          <w:kern w:val="32"/>
          <w:sz w:val="24"/>
        </w:rPr>
        <w:t xml:space="preserve">合同编号: </w:t>
      </w:r>
      <w:r>
        <w:rPr>
          <w:rFonts w:hint="eastAsia"/>
          <w:b/>
          <w:color w:val="000000"/>
          <w:kern w:val="32"/>
          <w:sz w:val="24"/>
        </w:rPr>
        <w:t>XX</w:t>
      </w:r>
      <w:r>
        <w:rPr>
          <w:b/>
          <w:color w:val="000000"/>
          <w:kern w:val="32"/>
          <w:sz w:val="24"/>
        </w:rPr>
        <w:t>QD</w:t>
      </w:r>
      <w:r>
        <w:rPr>
          <w:rFonts w:hint="eastAsia"/>
          <w:b/>
          <w:color w:val="000000"/>
          <w:kern w:val="32"/>
          <w:sz w:val="24"/>
        </w:rPr>
        <w:t>YS-202</w:t>
      </w:r>
      <w:r>
        <w:rPr>
          <w:rFonts w:hint="eastAsia"/>
          <w:b/>
          <w:color w:val="000000"/>
          <w:kern w:val="32"/>
          <w:sz w:val="24"/>
          <w:lang w:val="en-US" w:eastAsia="zh-CN"/>
        </w:rPr>
        <w:t>6</w:t>
      </w:r>
      <w:r>
        <w:rPr>
          <w:rFonts w:hint="eastAsia"/>
          <w:b/>
          <w:color w:val="000000"/>
          <w:kern w:val="32"/>
          <w:sz w:val="24"/>
        </w:rPr>
        <w:t>00</w:t>
      </w:r>
      <w:r>
        <w:rPr>
          <w:rFonts w:hint="eastAsia"/>
          <w:b/>
          <w:color w:val="000000"/>
          <w:kern w:val="32"/>
          <w:sz w:val="24"/>
          <w:lang w:val="en-US" w:eastAsia="zh-CN"/>
        </w:rPr>
        <w:t>2</w:t>
      </w:r>
    </w:p>
    <w:p>
      <w:pPr>
        <w:ind w:left="480" w:firstLine="960"/>
        <w:rPr>
          <w:b/>
          <w:bCs/>
          <w:color w:val="000000"/>
          <w:kern w:val="32"/>
          <w:sz w:val="24"/>
        </w:rPr>
      </w:pPr>
    </w:p>
    <w:p>
      <w:pPr>
        <w:ind w:left="480" w:firstLine="960"/>
        <w:rPr>
          <w:b/>
          <w:bCs/>
          <w:color w:val="000000"/>
          <w:kern w:val="32"/>
          <w:sz w:val="24"/>
        </w:rPr>
      </w:pPr>
    </w:p>
    <w:p>
      <w:pPr>
        <w:spacing w:line="360" w:lineRule="auto"/>
        <w:ind w:firstLine="1280"/>
        <w:jc w:val="center"/>
        <w:rPr>
          <w:b/>
          <w:bCs/>
          <w:color w:val="000000"/>
          <w:kern w:val="32"/>
          <w:sz w:val="32"/>
          <w:szCs w:val="32"/>
          <w:cs/>
          <w:lang w:val="mn-MN"/>
        </w:rPr>
      </w:pPr>
      <w:r>
        <w:rPr>
          <w:b/>
          <w:bCs/>
          <w:color w:val="000000"/>
          <w:kern w:val="32"/>
          <w:sz w:val="32"/>
          <w:szCs w:val="32"/>
          <w:cs/>
          <w:lang w:val="mn-MN"/>
        </w:rPr>
        <w:t xml:space="preserve">Баяжмал тээвэрлэлтийн гэрээ </w:t>
      </w:r>
    </w:p>
    <w:p>
      <w:pPr>
        <w:spacing w:line="360" w:lineRule="auto"/>
        <w:ind w:firstLine="1280"/>
        <w:jc w:val="center"/>
        <w:rPr>
          <w:b/>
          <w:bCs/>
          <w:color w:val="000000"/>
          <w:kern w:val="32"/>
          <w:sz w:val="32"/>
          <w:szCs w:val="32"/>
        </w:rPr>
      </w:pPr>
      <w:r>
        <w:rPr>
          <w:rFonts w:hint="eastAsia"/>
          <w:b/>
          <w:bCs/>
          <w:color w:val="000000"/>
          <w:kern w:val="32"/>
          <w:sz w:val="32"/>
          <w:szCs w:val="32"/>
        </w:rPr>
        <w:t>精矿粉汽车</w:t>
      </w:r>
      <w:r>
        <w:rPr>
          <w:b/>
          <w:bCs/>
          <w:color w:val="000000"/>
          <w:kern w:val="32"/>
          <w:sz w:val="32"/>
          <w:szCs w:val="32"/>
        </w:rPr>
        <w:t>运输合同</w:t>
      </w:r>
    </w:p>
    <w:p>
      <w:pPr>
        <w:keepNext w:val="0"/>
        <w:keepLines w:val="0"/>
        <w:widowControl/>
        <w:suppressLineNumbers w:val="0"/>
        <w:spacing w:before="0" w:beforeAutospacing="1" w:after="160" w:afterAutospacing="0" w:line="256" w:lineRule="auto"/>
        <w:ind w:left="0" w:right="0"/>
        <w:jc w:val="center"/>
        <w:rPr>
          <w:rFonts w:hint="default" w:ascii="仿宋" w:hAnsi="仿宋" w:eastAsia="Calibri" w:cs="Arial"/>
          <w:b/>
          <w:bCs w:val="0"/>
          <w:sz w:val="22"/>
          <w:szCs w:val="22"/>
          <w:lang w:val="en-US"/>
        </w:rPr>
      </w:pPr>
      <w:bookmarkStart w:id="141" w:name="_Hlk92528398"/>
      <w:bookmarkEnd w:id="141"/>
      <w:r>
        <w:rPr>
          <w:rFonts w:hint="default" w:ascii="Calibri" w:hAnsi="Calibri" w:eastAsia="宋体" w:cs="Calibri"/>
          <w:b/>
          <w:bCs w:val="0"/>
          <w:kern w:val="0"/>
          <w:sz w:val="22"/>
          <w:szCs w:val="22"/>
          <w:lang w:val="en-US" w:eastAsia="zh-CN" w:bidi="ar"/>
        </w:rPr>
        <w:t>合同编号：</w:t>
      </w:r>
      <w:r>
        <w:rPr>
          <w:rFonts w:hint="default" w:ascii="Times New Roman" w:hAnsi="Times New Roman" w:eastAsia="宋体" w:cs="Times New Roman"/>
          <w:b/>
          <w:bCs w:val="0"/>
          <w:kern w:val="0"/>
          <w:sz w:val="22"/>
          <w:szCs w:val="22"/>
          <w:lang w:val="en-US" w:eastAsia="zh-CN" w:bidi="ar"/>
        </w:rPr>
        <w:t>XXQDYS202</w:t>
      </w:r>
      <w:r>
        <w:rPr>
          <w:rFonts w:hint="eastAsia" w:cs="Times New Roman"/>
          <w:b/>
          <w:bCs w:val="0"/>
          <w:kern w:val="0"/>
          <w:sz w:val="22"/>
          <w:szCs w:val="22"/>
          <w:lang w:val="en-US" w:eastAsia="zh-CN" w:bidi="ar"/>
        </w:rPr>
        <w:t>6002</w:t>
      </w:r>
    </w:p>
    <w:p>
      <w:pPr>
        <w:keepNext w:val="0"/>
        <w:keepLines w:val="0"/>
        <w:widowControl/>
        <w:suppressLineNumbers w:val="0"/>
        <w:spacing w:before="0" w:beforeAutospacing="1" w:after="160" w:afterAutospacing="0" w:line="273" w:lineRule="auto"/>
        <w:ind w:left="0" w:right="0"/>
        <w:contextualSpacing/>
        <w:jc w:val="left"/>
        <w:rPr>
          <w:rFonts w:hint="default" w:ascii="Arial" w:hAnsi="Arial" w:eastAsia="仿宋" w:cs="Arial"/>
          <w:bCs/>
          <w:sz w:val="24"/>
          <w:szCs w:val="24"/>
        </w:rPr>
      </w:pPr>
      <w:r>
        <w:rPr>
          <w:rFonts w:hint="default" w:ascii="Arial" w:hAnsi="Arial" w:eastAsia="仿宋" w:cs="Arial"/>
          <w:bCs/>
          <w:kern w:val="0"/>
          <w:sz w:val="24"/>
          <w:szCs w:val="24"/>
          <w:lang w:val="en-US" w:eastAsia="zh-CN" w:bidi="ar"/>
        </w:rPr>
        <w:t xml:space="preserve"> </w:t>
      </w:r>
    </w:p>
    <w:tbl>
      <w:tblPr>
        <w:tblStyle w:val="89"/>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077"/>
        <w:gridCol w:w="993"/>
        <w:gridCol w:w="4501"/>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default" w:ascii="Arial" w:hAnsi="Arial" w:eastAsia="仿宋" w:cs="Arial"/>
                <w:bCs/>
                <w:color w:val="333333"/>
                <w:kern w:val="0"/>
                <w:sz w:val="24"/>
                <w:szCs w:val="24"/>
                <w:lang w:val="en-US" w:eastAsia="zh-CN" w:bidi="ar"/>
              </w:rPr>
              <w:t xml:space="preserve">Батлав. </w:t>
            </w:r>
            <w:r>
              <w:rPr>
                <w:rFonts w:hint="eastAsia" w:ascii="宋体" w:hAnsi="宋体" w:eastAsia="宋体" w:cs="宋体"/>
                <w:bCs/>
                <w:color w:val="333333"/>
                <w:kern w:val="0"/>
                <w:sz w:val="24"/>
                <w:szCs w:val="24"/>
                <w:lang w:val="en-US" w:eastAsia="zh-CN" w:bidi="ar"/>
              </w:rPr>
              <w:t>批准：</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default" w:ascii="Arial" w:hAnsi="Arial" w:eastAsia="仿宋" w:cs="Arial"/>
                <w:bCs/>
                <w:color w:val="333333"/>
                <w:kern w:val="0"/>
                <w:sz w:val="24"/>
                <w:szCs w:val="24"/>
                <w:lang w:val="en-US" w:eastAsia="zh-CN" w:bidi="ar"/>
              </w:rPr>
              <w:t>“Шинь Шинь” ХХК-ийн Гүйцэтгэх захирал: “</w:t>
            </w:r>
            <w:r>
              <w:rPr>
                <w:rFonts w:hint="eastAsia" w:ascii="宋体" w:hAnsi="宋体" w:eastAsia="宋体" w:cs="宋体"/>
                <w:bCs/>
                <w:color w:val="333333"/>
                <w:kern w:val="0"/>
                <w:sz w:val="24"/>
                <w:szCs w:val="24"/>
                <w:lang w:val="en-US" w:eastAsia="zh-CN" w:bidi="ar"/>
              </w:rPr>
              <w:t>新鑫”有限责任公司执行董事：</w:t>
            </w:r>
            <w:r>
              <w:rPr>
                <w:rFonts w:hint="default" w:ascii="Arial" w:hAnsi="Arial" w:eastAsia="仿宋" w:cs="Arial"/>
                <w:bCs/>
                <w:color w:val="333333"/>
                <w:kern w:val="0"/>
                <w:sz w:val="24"/>
                <w:szCs w:val="24"/>
                <w:lang w:val="en-US" w:eastAsia="zh-CN" w:bidi="ar"/>
              </w:rPr>
              <w:t>......................Gong Ming Shan</w:t>
            </w:r>
          </w:p>
          <w:p>
            <w:pPr>
              <w:keepNext w:val="0"/>
              <w:keepLines w:val="0"/>
              <w:widowControl/>
              <w:suppressLineNumbers w:val="0"/>
              <w:spacing w:before="0" w:beforeAutospacing="1" w:after="160" w:afterAutospacing="0" w:line="273" w:lineRule="auto"/>
              <w:ind w:left="0" w:right="0"/>
              <w:contextualSpacing w:val="0"/>
              <w:jc w:val="both"/>
              <w:rPr>
                <w:rFonts w:hint="default" w:ascii="Calibri" w:hAnsi="Calibri" w:eastAsia="仿宋" w:cs="Arial"/>
                <w:bCs/>
                <w:color w:val="333333"/>
                <w:sz w:val="24"/>
                <w:szCs w:val="24"/>
              </w:rPr>
            </w:pPr>
            <w:r>
              <w:rPr>
                <w:rFonts w:hint="default" w:ascii="Arial" w:hAnsi="Arial" w:eastAsia="仿宋" w:cs="Arial"/>
                <w:bCs/>
                <w:color w:val="333333"/>
                <w:kern w:val="0"/>
                <w:sz w:val="24"/>
                <w:szCs w:val="24"/>
                <w:lang w:val="en-US" w:eastAsia="zh-CN" w:bidi="ar"/>
              </w:rPr>
              <w:t xml:space="preserve">                                </w:t>
            </w:r>
            <w:r>
              <w:rPr>
                <w:rFonts w:hint="eastAsia" w:ascii="仿宋" w:hAnsi="仿宋" w:eastAsia="仿宋" w:cs="仿宋"/>
                <w:bCs/>
                <w:color w:val="333333"/>
                <w:kern w:val="0"/>
                <w:sz w:val="24"/>
                <w:szCs w:val="24"/>
                <w:lang w:val="en-US" w:eastAsia="zh-CN" w:bidi="ar"/>
              </w:rPr>
              <w:t>宫明山</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default" w:ascii="Arial" w:hAnsi="Arial" w:eastAsia="仿宋" w:cs="Arial"/>
                <w:bCs/>
                <w:color w:val="333333"/>
                <w:kern w:val="0"/>
                <w:sz w:val="24"/>
                <w:szCs w:val="24"/>
                <w:lang w:val="en-US" w:eastAsia="zh-CN" w:bidi="ar"/>
              </w:rPr>
              <w:t>Огноо: ...............</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eastAsia" w:ascii="宋体" w:hAnsi="宋体" w:eastAsia="宋体" w:cs="宋体"/>
                <w:bCs/>
                <w:color w:val="333333"/>
                <w:kern w:val="0"/>
                <w:sz w:val="24"/>
                <w:szCs w:val="24"/>
                <w:lang w:val="en-US" w:eastAsia="zh-CN" w:bidi="ar"/>
              </w:rPr>
              <w:t>日期：</w:t>
            </w:r>
          </w:p>
        </w:tc>
        <w:tc>
          <w:tcPr>
            <w:tcW w:w="993"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p>
        </w:tc>
        <w:tc>
          <w:tcPr>
            <w:tcW w:w="4501"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default" w:ascii="Arial" w:hAnsi="Arial" w:eastAsia="仿宋" w:cs="Arial"/>
                <w:bCs/>
                <w:color w:val="333333"/>
                <w:kern w:val="0"/>
                <w:sz w:val="24"/>
                <w:szCs w:val="24"/>
                <w:lang w:val="en-US" w:eastAsia="zh-CN" w:bidi="ar"/>
              </w:rPr>
              <w:t xml:space="preserve">Батлав. </w:t>
            </w:r>
            <w:r>
              <w:rPr>
                <w:rFonts w:hint="eastAsia" w:ascii="宋体" w:hAnsi="宋体" w:eastAsia="宋体" w:cs="宋体"/>
                <w:bCs/>
                <w:color w:val="333333"/>
                <w:kern w:val="0"/>
                <w:sz w:val="24"/>
                <w:szCs w:val="24"/>
                <w:lang w:val="en-US" w:eastAsia="zh-CN" w:bidi="ar"/>
              </w:rPr>
              <w:t>批准：</w:t>
            </w:r>
          </w:p>
          <w:p>
            <w:pPr>
              <w:keepNext w:val="0"/>
              <w:keepLines w:val="0"/>
              <w:widowControl/>
              <w:suppressLineNumbers w:val="0"/>
              <w:spacing w:before="0" w:beforeAutospacing="1" w:after="160" w:afterAutospacing="0" w:line="273" w:lineRule="auto"/>
              <w:ind w:left="0" w:right="0"/>
              <w:contextualSpacing w:val="0"/>
              <w:jc w:val="both"/>
              <w:rPr>
                <w:rFonts w:hint="eastAsia" w:ascii="Arial" w:hAnsi="Arial" w:eastAsia="仿宋" w:cs="Arial"/>
                <w:bCs/>
                <w:color w:val="333333"/>
                <w:kern w:val="0"/>
                <w:sz w:val="24"/>
                <w:szCs w:val="24"/>
                <w:lang w:val="en-US" w:eastAsia="zh-CN" w:bidi="ar"/>
              </w:rPr>
            </w:pPr>
            <w:r>
              <w:rPr>
                <w:rFonts w:hint="eastAsia" w:ascii="Arial" w:hAnsi="Arial" w:eastAsia="仿宋" w:cs="Arial"/>
                <w:bCs/>
                <w:color w:val="333333"/>
                <w:kern w:val="0"/>
                <w:sz w:val="24"/>
                <w:szCs w:val="24"/>
                <w:lang w:val="en-US" w:eastAsia="zh-CN" w:bidi="ar"/>
              </w:rPr>
              <w:t>***</w:t>
            </w:r>
            <w:r>
              <w:rPr>
                <w:rFonts w:hint="default" w:ascii="Arial" w:hAnsi="Arial" w:eastAsia="仿宋" w:cs="Arial"/>
                <w:bCs/>
                <w:color w:val="333333"/>
                <w:kern w:val="0"/>
                <w:sz w:val="24"/>
                <w:szCs w:val="24"/>
                <w:lang w:val="en-US" w:eastAsia="zh-CN" w:bidi="ar"/>
              </w:rPr>
              <w:t xml:space="preserve"> ХХК-ийн захирал: </w:t>
            </w:r>
            <w:r>
              <w:rPr>
                <w:rFonts w:hint="eastAsia" w:ascii="Arial" w:hAnsi="Arial" w:eastAsia="仿宋" w:cs="Arial"/>
                <w:bCs/>
                <w:color w:val="333333"/>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eastAsia" w:ascii="宋体" w:hAnsi="宋体" w:eastAsia="宋体" w:cs="宋体"/>
                <w:bCs/>
                <w:color w:val="333333"/>
                <w:kern w:val="0"/>
                <w:sz w:val="24"/>
                <w:szCs w:val="24"/>
                <w:lang w:val="en-US" w:eastAsia="zh-CN" w:bidi="ar"/>
              </w:rPr>
              <w:t>总经理：</w:t>
            </w:r>
            <w:r>
              <w:rPr>
                <w:rFonts w:hint="default" w:ascii="Arial" w:hAnsi="Arial" w:eastAsia="仿宋" w:cs="Arial"/>
                <w:bCs/>
                <w:color w:val="333333"/>
                <w:kern w:val="0"/>
                <w:sz w:val="24"/>
                <w:szCs w:val="24"/>
                <w:lang w:val="en-US" w:eastAsia="zh-CN" w:bidi="ar"/>
              </w:rPr>
              <w:t>……..................</w:t>
            </w:r>
            <w:r>
              <w:rPr>
                <w:rFonts w:hint="eastAsia" w:ascii="Arial" w:hAnsi="Arial" w:eastAsia="仿宋" w:cs="Arial"/>
                <w:bCs/>
                <w:color w:val="333333"/>
                <w:kern w:val="0"/>
                <w:sz w:val="24"/>
                <w:szCs w:val="24"/>
                <w:lang w:val="en-US" w:eastAsia="zh-CN" w:bidi="ar"/>
              </w:rPr>
              <w:t>***</w:t>
            </w:r>
            <w:r>
              <w:rPr>
                <w:rFonts w:hint="default" w:ascii="Arial" w:hAnsi="Arial" w:eastAsia="宋体" w:cs="Arial"/>
                <w:bCs/>
                <w:color w:val="333333"/>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rPr>
            </w:pPr>
            <w:r>
              <w:rPr>
                <w:rFonts w:hint="default" w:ascii="Arial" w:hAnsi="Arial" w:eastAsia="仿宋" w:cs="Arial"/>
                <w:bCs/>
                <w:color w:val="333333"/>
                <w:kern w:val="0"/>
                <w:sz w:val="24"/>
                <w:szCs w:val="24"/>
                <w:lang w:val="en-US" w:eastAsia="zh-CN" w:bidi="ar"/>
              </w:rPr>
              <w:t>Огноо:...............</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bCs/>
                <w:color w:val="333333"/>
                <w:sz w:val="24"/>
                <w:szCs w:val="24"/>
                <w:highlight w:val="yellow"/>
              </w:rPr>
            </w:pPr>
            <w:r>
              <w:rPr>
                <w:rFonts w:hint="eastAsia" w:ascii="宋体" w:hAnsi="宋体" w:eastAsia="宋体" w:cs="宋体"/>
                <w:bCs/>
                <w:color w:val="333333"/>
                <w:kern w:val="0"/>
                <w:sz w:val="24"/>
                <w:szCs w:val="24"/>
                <w:lang w:val="en-US" w:eastAsia="zh-CN" w:bidi="ar"/>
              </w:rPr>
              <w:t>日期：</w:t>
            </w:r>
          </w:p>
        </w:tc>
      </w:tr>
    </w:tbl>
    <w:p>
      <w:pPr>
        <w:keepNext w:val="0"/>
        <w:keepLines w:val="0"/>
        <w:widowControl/>
        <w:suppressLineNumbers w:val="0"/>
        <w:spacing w:before="0" w:beforeAutospacing="1" w:after="160" w:afterAutospacing="0" w:line="273" w:lineRule="auto"/>
        <w:ind w:left="0" w:right="0"/>
        <w:contextualSpacing/>
        <w:jc w:val="left"/>
        <w:rPr>
          <w:rFonts w:hint="default" w:ascii="Arial" w:hAnsi="Arial" w:eastAsia="仿宋" w:cs="Arial"/>
          <w:bCs/>
          <w:sz w:val="24"/>
          <w:szCs w:val="24"/>
        </w:rPr>
      </w:pPr>
      <w:r>
        <w:rPr>
          <w:rFonts w:hint="default" w:ascii="Arial" w:hAnsi="Arial" w:eastAsia="仿宋" w:cs="Arial"/>
          <w:bCs/>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仿宋" w:cs="Arial"/>
          <w:b/>
          <w:bCs/>
          <w:color w:val="000000"/>
          <w:sz w:val="24"/>
          <w:szCs w:val="24"/>
        </w:rPr>
      </w:pPr>
      <w:bookmarkStart w:id="142" w:name="_Hlk92544701"/>
      <w:bookmarkEnd w:id="142"/>
      <w:bookmarkStart w:id="143" w:name="_Hlk126658071"/>
      <w:r>
        <w:rPr>
          <w:rFonts w:hint="default" w:ascii="Arial" w:hAnsi="Arial" w:eastAsia="仿宋" w:cs="Arial"/>
          <w:b/>
          <w:bCs/>
          <w:color w:val="000000"/>
          <w:kern w:val="0"/>
          <w:sz w:val="24"/>
          <w:szCs w:val="24"/>
          <w:lang w:val="en-US" w:eastAsia="zh-CN" w:bidi="ar"/>
        </w:rPr>
        <w:t>БАЯЖМАЛ ТЭЭВЭРЛЭХ ГЭРЭЭ</w:t>
      </w:r>
      <w:bookmarkEnd w:id="143"/>
    </w:p>
    <w:p>
      <w:pPr>
        <w:keepNext w:val="0"/>
        <w:keepLines w:val="0"/>
        <w:widowControl/>
        <w:suppressLineNumbers w:val="0"/>
        <w:spacing w:before="0" w:beforeAutospacing="1" w:after="0" w:afterAutospacing="0" w:line="273" w:lineRule="auto"/>
        <w:ind w:left="0" w:right="0"/>
        <w:contextualSpacing/>
        <w:jc w:val="center"/>
        <w:rPr>
          <w:rFonts w:hint="default" w:ascii="Calibri" w:hAnsi="Calibri" w:eastAsia="仿宋" w:cs="Arial"/>
          <w:b/>
          <w:bCs/>
          <w:color w:val="000000"/>
          <w:sz w:val="24"/>
          <w:szCs w:val="24"/>
        </w:rPr>
      </w:pPr>
      <w:r>
        <w:rPr>
          <w:rFonts w:hint="eastAsia" w:ascii="仿宋" w:hAnsi="仿宋" w:eastAsia="仿宋" w:cs="仿宋"/>
          <w:b/>
          <w:bCs/>
          <w:color w:val="000000"/>
          <w:kern w:val="0"/>
          <w:sz w:val="24"/>
          <w:szCs w:val="24"/>
          <w:lang w:val="en-US" w:eastAsia="zh-CN" w:bidi="ar"/>
        </w:rPr>
        <w:t>精矿粉运输合同</w:t>
      </w:r>
    </w:p>
    <w:p>
      <w:pPr>
        <w:keepNext w:val="0"/>
        <w:keepLines w:val="0"/>
        <w:widowControl/>
        <w:suppressLineNumbers w:val="0"/>
        <w:spacing w:before="0" w:beforeAutospacing="1" w:after="0" w:afterAutospacing="0" w:line="273" w:lineRule="auto"/>
        <w:ind w:left="0" w:right="0"/>
        <w:contextualSpacing/>
        <w:jc w:val="center"/>
        <w:rPr>
          <w:rFonts w:hint="default" w:ascii="Calibri" w:hAnsi="Calibri" w:eastAsia="仿宋" w:cs="Arial"/>
          <w:b/>
          <w:bCs/>
          <w:sz w:val="24"/>
          <w:szCs w:val="24"/>
        </w:rPr>
      </w:pPr>
      <w:r>
        <w:rPr>
          <w:rFonts w:hint="default" w:ascii="Calibri" w:hAnsi="Calibri" w:eastAsia="仿宋" w:cs="Arial"/>
          <w:b/>
          <w:bCs/>
          <w:kern w:val="0"/>
          <w:sz w:val="24"/>
          <w:szCs w:val="24"/>
          <w:lang w:val="en-US" w:eastAsia="zh-CN" w:bidi="ar"/>
        </w:rPr>
        <w:t xml:space="preserve"> </w:t>
      </w:r>
    </w:p>
    <w:p>
      <w:pPr>
        <w:keepNext w:val="0"/>
        <w:keepLines w:val="0"/>
        <w:widowControl/>
        <w:suppressLineNumbers w:val="0"/>
        <w:spacing w:before="0" w:beforeAutospacing="1" w:after="0" w:afterAutospacing="0" w:line="273" w:lineRule="auto"/>
        <w:ind w:left="0" w:right="0"/>
        <w:contextualSpacing/>
        <w:jc w:val="both"/>
        <w:rPr>
          <w:rFonts w:hint="default" w:ascii="Arial" w:hAnsi="Arial" w:eastAsia="仿宋" w:cs="Arial"/>
          <w:color w:val="000000"/>
          <w:sz w:val="24"/>
          <w:szCs w:val="24"/>
        </w:rPr>
      </w:pPr>
      <w:r>
        <w:rPr>
          <w:rFonts w:hint="eastAsia" w:ascii="Arial" w:hAnsi="Arial" w:eastAsia="仿宋" w:cs="Arial"/>
          <w:color w:val="EE0000"/>
          <w:kern w:val="0"/>
          <w:sz w:val="24"/>
          <w:szCs w:val="24"/>
          <w:lang w:val="en-US" w:eastAsia="zh-CN" w:bidi="ar"/>
        </w:rPr>
        <w:t xml:space="preserve">                        </w:t>
      </w:r>
      <w:r>
        <w:rPr>
          <w:rFonts w:hint="default" w:ascii="Arial" w:hAnsi="Arial" w:eastAsia="仿宋" w:cs="Arial"/>
          <w:color w:val="000000"/>
          <w:kern w:val="0"/>
          <w:sz w:val="24"/>
          <w:szCs w:val="24"/>
          <w:lang w:val="en-US" w:eastAsia="zh-CN" w:bidi="ar"/>
        </w:rPr>
        <w:t xml:space="preserve">   </w:t>
      </w:r>
    </w:p>
    <w:p>
      <w:pPr>
        <w:keepNext w:val="0"/>
        <w:keepLines w:val="0"/>
        <w:widowControl/>
        <w:suppressLineNumbers w:val="0"/>
        <w:spacing w:before="0" w:beforeAutospacing="1" w:after="0" w:afterAutospacing="0" w:line="273" w:lineRule="auto"/>
        <w:ind w:left="0" w:right="0"/>
        <w:contextualSpacing/>
        <w:jc w:val="both"/>
        <w:rPr>
          <w:rFonts w:hint="default" w:ascii="Arial" w:hAnsi="Arial" w:eastAsia="仿宋" w:cs="Arial"/>
          <w:color w:val="000000"/>
          <w:sz w:val="24"/>
          <w:szCs w:val="24"/>
        </w:rPr>
      </w:pPr>
      <w:r>
        <w:rPr>
          <w:rFonts w:hint="default" w:ascii="Arial" w:hAnsi="Arial" w:eastAsia="仿宋" w:cs="Arial"/>
          <w:color w:val="000000"/>
          <w:kern w:val="0"/>
          <w:sz w:val="24"/>
          <w:szCs w:val="24"/>
          <w:lang w:val="en-US" w:eastAsia="zh-CN" w:bidi="ar"/>
        </w:rPr>
        <w:t xml:space="preserve">                                        </w:t>
      </w:r>
    </w:p>
    <w:p>
      <w:pPr>
        <w:keepNext w:val="0"/>
        <w:keepLines w:val="0"/>
        <w:widowControl/>
        <w:suppressLineNumbers w:val="0"/>
        <w:spacing w:before="0" w:beforeAutospacing="1"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Нэг. Нийтлэг үндэслэл</w:t>
      </w:r>
    </w:p>
    <w:p>
      <w:pPr>
        <w:pStyle w:val="81"/>
        <w:keepNext w:val="0"/>
        <w:keepLines w:val="0"/>
        <w:widowControl/>
        <w:suppressLineNumbers w:val="0"/>
        <w:spacing w:before="0" w:beforeAutospacing="1" w:after="160" w:afterAutospacing="0" w:line="273" w:lineRule="auto"/>
        <w:ind w:left="0" w:right="0"/>
        <w:contextualSpacing/>
        <w:jc w:val="center"/>
        <w:rPr>
          <w:rFonts w:hint="default" w:ascii="Arial" w:hAnsi="Arial" w:eastAsia="仿宋" w:cs="Arial"/>
          <w:b/>
          <w:bCs/>
          <w:color w:val="000000"/>
          <w:sz w:val="24"/>
          <w:szCs w:val="24"/>
        </w:rPr>
      </w:pPr>
      <w:r>
        <w:rPr>
          <w:rFonts w:hint="eastAsia" w:ascii="仿宋" w:hAnsi="仿宋" w:eastAsia="仿宋" w:cs="仿宋"/>
          <w:b/>
          <w:bCs/>
          <w:color w:val="000000"/>
          <w:kern w:val="0"/>
          <w:sz w:val="24"/>
          <w:szCs w:val="24"/>
          <w:lang w:val="en-US" w:eastAsia="zh-CN" w:bidi="ar"/>
        </w:rPr>
        <w:t>一、总则</w:t>
      </w:r>
    </w:p>
    <w:p>
      <w:pPr>
        <w:pStyle w:val="81"/>
        <w:keepNext w:val="0"/>
        <w:keepLines w:val="0"/>
        <w:widowControl/>
        <w:numPr>
          <w:ilvl w:val="1"/>
          <w:numId w:val="26"/>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 xml:space="preserve">Энэхүү гэрээг нэг талаас Дорнод аймгийн Дашбалбар сумын нутагт орших </w:t>
      </w:r>
      <w:r>
        <w:rPr>
          <w:rFonts w:hint="default" w:ascii="Arial" w:hAnsi="Arial" w:eastAsia="Calibri" w:cs="Arial"/>
          <w:bCs/>
          <w:kern w:val="0"/>
          <w:sz w:val="24"/>
          <w:szCs w:val="24"/>
          <w:lang w:val="en-US" w:eastAsia="zh-CN" w:bidi="ar"/>
        </w:rPr>
        <w:t xml:space="preserve">9019005082 </w:t>
      </w:r>
      <w:r>
        <w:rPr>
          <w:rFonts w:hint="default" w:ascii="Arial" w:hAnsi="Arial" w:eastAsia="Calibri" w:cs="Arial"/>
          <w:kern w:val="0"/>
          <w:sz w:val="24"/>
          <w:szCs w:val="24"/>
          <w:lang w:val="en-US" w:eastAsia="zh-CN" w:bidi="ar"/>
        </w:rPr>
        <w:t xml:space="preserve">улсын бүртгэлийн дугаар, </w:t>
      </w:r>
      <w:r>
        <w:rPr>
          <w:rFonts w:hint="default" w:ascii="Arial" w:hAnsi="Arial" w:eastAsia="Calibri" w:cs="Arial"/>
          <w:bCs/>
          <w:kern w:val="0"/>
          <w:sz w:val="24"/>
          <w:szCs w:val="24"/>
          <w:lang w:val="en-US" w:eastAsia="zh-CN" w:bidi="ar"/>
        </w:rPr>
        <w:t>2830213</w:t>
      </w:r>
      <w:r>
        <w:rPr>
          <w:rFonts w:hint="default" w:ascii="Arial" w:hAnsi="Arial" w:eastAsia="Calibri" w:cs="Arial"/>
          <w:b/>
          <w:bCs w:val="0"/>
          <w:kern w:val="0"/>
          <w:sz w:val="24"/>
          <w:szCs w:val="24"/>
          <w:lang w:val="en-US" w:eastAsia="zh-CN" w:bidi="ar"/>
        </w:rPr>
        <w:t xml:space="preserve"> </w:t>
      </w:r>
      <w:r>
        <w:rPr>
          <w:rFonts w:hint="default" w:ascii="Arial" w:hAnsi="Arial" w:eastAsia="Calibri" w:cs="Arial"/>
          <w:kern w:val="0"/>
          <w:sz w:val="24"/>
          <w:szCs w:val="24"/>
          <w:lang w:val="en-US" w:eastAsia="zh-CN" w:bidi="ar"/>
        </w:rPr>
        <w:t xml:space="preserve">регистрийн дугаартай </w:t>
      </w:r>
      <w:r>
        <w:rPr>
          <w:rFonts w:hint="default" w:ascii="Arial" w:hAnsi="Arial" w:eastAsia="Calibri" w:cs="Arial"/>
          <w:b/>
          <w:bCs w:val="0"/>
          <w:kern w:val="0"/>
          <w:sz w:val="24"/>
          <w:szCs w:val="24"/>
          <w:lang w:val="en-US" w:eastAsia="zh-CN" w:bidi="ar"/>
        </w:rPr>
        <w:t>“Шинь Шинь” ХХК</w:t>
      </w:r>
      <w:r>
        <w:rPr>
          <w:rFonts w:hint="default" w:ascii="Arial" w:hAnsi="Arial" w:eastAsia="Calibri" w:cs="Arial"/>
          <w:bCs/>
          <w:kern w:val="0"/>
          <w:sz w:val="24"/>
          <w:szCs w:val="24"/>
          <w:lang w:val="en-US" w:eastAsia="zh-CN" w:bidi="ar"/>
        </w:rPr>
        <w:t xml:space="preserve"> </w:t>
      </w:r>
      <w:r>
        <w:rPr>
          <w:rFonts w:hint="default" w:ascii="Arial" w:hAnsi="Arial" w:eastAsia="Calibri" w:cs="Arial"/>
          <w:kern w:val="0"/>
          <w:sz w:val="24"/>
          <w:szCs w:val="24"/>
          <w:lang w:val="en-US" w:eastAsia="zh-CN" w:bidi="ar"/>
        </w:rPr>
        <w:t>(цаашид “Захиалагч” гэх)-ийг төлөөлж захирал</w:t>
      </w:r>
      <w:r>
        <w:rPr>
          <w:rFonts w:hint="eastAsia" w:ascii="Arial" w:hAnsi="Arial" w:eastAsia="Calibri" w:cs="Arial"/>
          <w:kern w:val="0"/>
          <w:sz w:val="24"/>
          <w:szCs w:val="24"/>
          <w:lang w:val="en-US" w:eastAsia="zh-CN" w:bidi="ar"/>
        </w:rPr>
        <w:t>***</w:t>
      </w:r>
      <w:r>
        <w:rPr>
          <w:rFonts w:hint="default" w:ascii="Arial" w:hAnsi="Arial" w:eastAsia="Calibri" w:cs="Arial"/>
          <w:kern w:val="0"/>
          <w:sz w:val="24"/>
          <w:szCs w:val="24"/>
          <w:lang w:val="en-US" w:eastAsia="zh-CN" w:bidi="ar"/>
        </w:rPr>
        <w:t>,</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color w:val="000000"/>
          <w:sz w:val="24"/>
          <w:szCs w:val="24"/>
        </w:rPr>
      </w:pPr>
      <w:r>
        <w:rPr>
          <w:rFonts w:hint="eastAsia" w:ascii="仿宋" w:hAnsi="仿宋" w:eastAsia="仿宋" w:cs="仿宋"/>
          <w:kern w:val="0"/>
          <w:sz w:val="24"/>
          <w:szCs w:val="24"/>
          <w:lang w:val="en-US" w:eastAsia="zh-CN" w:bidi="ar"/>
        </w:rPr>
        <w:t>合同甲方为</w:t>
      </w:r>
      <w:r>
        <w:rPr>
          <w:rFonts w:hint="eastAsia" w:ascii="仿宋" w:hAnsi="仿宋" w:eastAsia="仿宋" w:cs="仿宋"/>
          <w:color w:val="000000"/>
          <w:kern w:val="0"/>
          <w:sz w:val="24"/>
          <w:szCs w:val="24"/>
          <w:lang w:val="en-US" w:eastAsia="zh-CN" w:bidi="ar"/>
        </w:rPr>
        <w:t>位于东方省达西县的营业注册号：</w:t>
      </w:r>
      <w:r>
        <w:rPr>
          <w:rFonts w:hint="default" w:ascii="Arial" w:hAnsi="Arial" w:eastAsia="仿宋" w:cs="Arial"/>
          <w:color w:val="000000"/>
          <w:kern w:val="0"/>
          <w:sz w:val="24"/>
          <w:szCs w:val="24"/>
          <w:lang w:val="en-US" w:eastAsia="zh-CN" w:bidi="ar"/>
        </w:rPr>
        <w:t>9019005082</w:t>
      </w:r>
      <w:r>
        <w:rPr>
          <w:rFonts w:hint="eastAsia" w:ascii="仿宋" w:hAnsi="仿宋" w:eastAsia="仿宋" w:cs="仿宋"/>
          <w:color w:val="000000"/>
          <w:kern w:val="0"/>
          <w:sz w:val="24"/>
          <w:szCs w:val="24"/>
          <w:lang w:val="en-US" w:eastAsia="zh-CN" w:bidi="ar"/>
        </w:rPr>
        <w:t>，税号：</w:t>
      </w:r>
      <w:r>
        <w:rPr>
          <w:rFonts w:hint="default" w:ascii="Arial" w:hAnsi="Arial" w:eastAsia="仿宋" w:cs="Arial"/>
          <w:color w:val="000000"/>
          <w:kern w:val="0"/>
          <w:sz w:val="24"/>
          <w:szCs w:val="24"/>
          <w:lang w:val="en-US" w:eastAsia="zh-CN" w:bidi="ar"/>
        </w:rPr>
        <w:t>2830213</w:t>
      </w:r>
      <w:r>
        <w:rPr>
          <w:rFonts w:hint="eastAsia" w:ascii="仿宋" w:hAnsi="仿宋" w:eastAsia="仿宋" w:cs="仿宋"/>
          <w:color w:val="000000"/>
          <w:kern w:val="0"/>
          <w:sz w:val="24"/>
          <w:szCs w:val="24"/>
          <w:lang w:val="en-US" w:eastAsia="zh-CN" w:bidi="ar"/>
        </w:rPr>
        <w:t>的“新鑫”有限责任公司（以下简称甲方）代表经理***，根据《蒙古国民法》《道路运输相关法》《海关相关法》等，双方本着平等互利和诚实守信的原则签订本合同。</w:t>
      </w:r>
    </w:p>
    <w:p>
      <w:pPr>
        <w:pStyle w:val="81"/>
        <w:keepNext w:val="0"/>
        <w:keepLines w:val="0"/>
        <w:widowControl/>
        <w:numPr>
          <w:ilvl w:val="1"/>
          <w:numId w:val="26"/>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Гэрээний зорилго: Энэхүү гэрээгээр Гүйцэтгэгч нь Захиалагчийн хар тугалга, цайрын баяжмал (цаашид “Бараа” гэх)-ыг Дорнод аймгийн Дашбалбар сумын нутаг, Улааны орд газарт орших Шинь шинь ХХК-ийн гаалийн хяналтын бүсээс БНХАУ-ын Өвөр Монголын Өөртөө Засах Орны Хөлөнбуйр аймгийн Шинэ-Барга баруун хошууны нутагт орших Архашаатын боомтын гаалийн хяналтын талбай хүртэл тээвэрлэн, ачаа хүлээн авагчид хүлээлгэн өгөх; Захиалагч нь гэрээнд тохирсон тээвэрлэлтийн хөлсийг төлөхтэй холбогдсон эрх зүйн харилцааг зохицуулна.</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color w:val="000000"/>
          <w:sz w:val="24"/>
          <w:szCs w:val="24"/>
        </w:rPr>
      </w:pPr>
      <w:r>
        <w:rPr>
          <w:rFonts w:hint="eastAsia" w:ascii="仿宋" w:hAnsi="仿宋" w:eastAsia="仿宋" w:cs="仿宋"/>
          <w:color w:val="000000"/>
          <w:kern w:val="0"/>
          <w:sz w:val="24"/>
          <w:szCs w:val="24"/>
          <w:lang w:val="en-US" w:eastAsia="zh-CN" w:bidi="ar"/>
        </w:rPr>
        <w:t>合同目的：乙方将甲方的铅锌精矿粉产品（以下简称“货物”）自东方省达西县乌兰矿区海关监管区运输至中华人民共和国内蒙古自治区</w:t>
      </w:r>
      <w:r>
        <w:rPr>
          <w:rFonts w:hint="eastAsia" w:ascii="宋体" w:hAnsi="宋体" w:eastAsia="宋体" w:cs="宋体"/>
          <w:color w:val="000000"/>
          <w:kern w:val="0"/>
          <w:sz w:val="24"/>
          <w:szCs w:val="24"/>
          <w:lang w:val="en-US" w:eastAsia="zh-CN" w:bidi="ar"/>
        </w:rPr>
        <w:t>胡</w:t>
      </w:r>
      <w:r>
        <w:rPr>
          <w:rFonts w:hint="eastAsia" w:ascii="仿宋" w:hAnsi="仿宋" w:eastAsia="仿宋" w:cs="仿宋"/>
          <w:color w:val="000000"/>
          <w:kern w:val="0"/>
          <w:sz w:val="24"/>
          <w:szCs w:val="24"/>
          <w:lang w:val="en-US" w:eastAsia="zh-CN" w:bidi="ar"/>
        </w:rPr>
        <w:t>仑贝尔省新巴尔虎右旗，阿尔哈沙特口岸海关监管区移交；甲方按照合同规定支付相关费用。</w:t>
      </w:r>
    </w:p>
    <w:p>
      <w:pPr>
        <w:keepNext w:val="0"/>
        <w:keepLines w:val="0"/>
        <w:widowControl/>
        <w:suppressLineNumbers w:val="0"/>
        <w:spacing w:before="0" w:beforeAutospacing="1"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 xml:space="preserve">Хоёр. Ачааны тодорхойлолт, тээврийн хэрэгслийн </w:t>
      </w:r>
    </w:p>
    <w:p>
      <w:pPr>
        <w:keepNext w:val="0"/>
        <w:keepLines w:val="0"/>
        <w:widowControl/>
        <w:suppressLineNumbers w:val="0"/>
        <w:spacing w:before="0" w:beforeAutospacing="1"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техникийн үзүүлэлт, тээвэр төлөвлөлт</w:t>
      </w:r>
    </w:p>
    <w:p>
      <w:pPr>
        <w:pStyle w:val="81"/>
        <w:keepNext w:val="0"/>
        <w:keepLines w:val="0"/>
        <w:widowControl/>
        <w:suppressLineNumbers w:val="0"/>
        <w:spacing w:before="0" w:beforeAutospacing="1" w:after="0" w:afterAutospacing="0" w:line="273" w:lineRule="auto"/>
        <w:ind w:left="0" w:right="0"/>
        <w:contextualSpacing/>
        <w:jc w:val="center"/>
        <w:rPr>
          <w:rFonts w:hint="default" w:ascii="Arial" w:hAnsi="Arial" w:eastAsia="仿宋" w:cs="Arial"/>
          <w:b/>
          <w:bCs w:val="0"/>
          <w:color w:val="000000"/>
          <w:sz w:val="24"/>
          <w:szCs w:val="24"/>
        </w:rPr>
      </w:pPr>
      <w:r>
        <w:rPr>
          <w:rFonts w:hint="eastAsia" w:ascii="仿宋" w:hAnsi="仿宋" w:eastAsia="仿宋" w:cs="仿宋"/>
          <w:b/>
          <w:bCs w:val="0"/>
          <w:color w:val="000000"/>
          <w:kern w:val="0"/>
          <w:sz w:val="24"/>
          <w:szCs w:val="24"/>
          <w:lang w:val="en-US" w:eastAsia="zh-CN" w:bidi="ar"/>
        </w:rPr>
        <w:t>二、产品清单，运输设备规格及价格</w:t>
      </w:r>
    </w:p>
    <w:p>
      <w:pPr>
        <w:pStyle w:val="81"/>
        <w:keepNext w:val="0"/>
        <w:keepLines w:val="0"/>
        <w:widowControl/>
        <w:numPr>
          <w:ilvl w:val="1"/>
          <w:numId w:val="27"/>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Бараа нь тусгай зориулалтын нийлэг уутанд 2000 кг-аар савлагдсан, 6% -10% чийглэгтэй, хүйтний улиралд хөлддөг, өндөр үнэ өртөгтэй бүтээгдэхүүн юм. Нийлэг уут нь урт хугацаанд гадна хадгалахад тохиромжгүй, дулааны улиралд нарны гэрлийн шууд тусгалд амархан гэмтэж мууддаг онцлогтой.</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货物装在</w:t>
      </w:r>
      <w:r>
        <w:rPr>
          <w:rFonts w:hint="default" w:ascii="Arial" w:hAnsi="Arial" w:eastAsia="仿宋" w:cs="Arial"/>
          <w:kern w:val="0"/>
          <w:sz w:val="24"/>
          <w:szCs w:val="24"/>
          <w:lang w:val="en-US" w:eastAsia="zh-CN" w:bidi="ar"/>
        </w:rPr>
        <w:t>PVC</w:t>
      </w:r>
      <w:r>
        <w:rPr>
          <w:rFonts w:hint="eastAsia" w:ascii="仿宋" w:hAnsi="仿宋" w:eastAsia="仿宋" w:cs="仿宋"/>
          <w:kern w:val="0"/>
          <w:sz w:val="24"/>
          <w:szCs w:val="24"/>
          <w:lang w:val="en-US" w:eastAsia="zh-CN" w:bidi="ar"/>
        </w:rPr>
        <w:t>专业用途吨袋中，每袋</w:t>
      </w:r>
      <w:r>
        <w:rPr>
          <w:rFonts w:hint="default" w:ascii="Arial" w:hAnsi="Arial" w:eastAsia="仿宋" w:cs="Arial"/>
          <w:kern w:val="0"/>
          <w:sz w:val="24"/>
          <w:szCs w:val="24"/>
          <w:lang w:val="en-US" w:eastAsia="zh-CN" w:bidi="ar"/>
        </w:rPr>
        <w:t>2000</w:t>
      </w:r>
      <w:r>
        <w:rPr>
          <w:rFonts w:hint="eastAsia" w:ascii="仿宋" w:hAnsi="仿宋" w:eastAsia="仿宋" w:cs="仿宋"/>
          <w:kern w:val="0"/>
          <w:sz w:val="24"/>
          <w:szCs w:val="24"/>
          <w:lang w:val="en-US" w:eastAsia="zh-CN" w:bidi="ar"/>
        </w:rPr>
        <w:t>公斤，含</w:t>
      </w:r>
      <w:r>
        <w:rPr>
          <w:rFonts w:hint="default" w:ascii="Arial" w:hAnsi="Arial" w:eastAsia="仿宋" w:cs="Arial"/>
          <w:kern w:val="0"/>
          <w:sz w:val="24"/>
          <w:szCs w:val="24"/>
          <w:lang w:val="en-US" w:eastAsia="zh-CN" w:bidi="ar"/>
        </w:rPr>
        <w:t>6%-10%</w:t>
      </w:r>
      <w:r>
        <w:rPr>
          <w:rFonts w:hint="eastAsia" w:ascii="仿宋" w:hAnsi="仿宋" w:eastAsia="仿宋" w:cs="仿宋"/>
          <w:kern w:val="0"/>
          <w:sz w:val="24"/>
          <w:szCs w:val="24"/>
          <w:lang w:val="en-US" w:eastAsia="zh-CN" w:bidi="ar"/>
        </w:rPr>
        <w:t>的湿度，严寒季节会结冻的高价值产品。</w:t>
      </w:r>
      <w:r>
        <w:rPr>
          <w:rFonts w:hint="default" w:ascii="Arial" w:hAnsi="Arial" w:eastAsia="仿宋" w:cs="Arial"/>
          <w:kern w:val="0"/>
          <w:sz w:val="24"/>
          <w:szCs w:val="24"/>
          <w:lang w:val="en-US" w:eastAsia="zh-CN" w:bidi="ar"/>
        </w:rPr>
        <w:t>PVC</w:t>
      </w:r>
      <w:r>
        <w:rPr>
          <w:rFonts w:hint="eastAsia" w:ascii="仿宋" w:hAnsi="仿宋" w:eastAsia="仿宋" w:cs="仿宋"/>
          <w:kern w:val="0"/>
          <w:sz w:val="24"/>
          <w:szCs w:val="24"/>
          <w:lang w:val="en-US" w:eastAsia="zh-CN" w:bidi="ar"/>
        </w:rPr>
        <w:t>矿粉袋无法长期放置在室外，需要避免阳光直射否则将会损坏。</w:t>
      </w:r>
    </w:p>
    <w:p>
      <w:pPr>
        <w:pStyle w:val="81"/>
        <w:keepNext w:val="0"/>
        <w:keepLines w:val="0"/>
        <w:widowControl/>
        <w:numPr>
          <w:ilvl w:val="1"/>
          <w:numId w:val="27"/>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Гүйцэтгэгчийн тээврийн хэрэгсэл нь “Автотээврийн хэрэгслийн техникийн байдалд тавих ерөнхий шаардлага”-д нийцсэн байна</w:t>
      </w:r>
      <w:r>
        <w:rPr>
          <w:rFonts w:hint="default" w:ascii="Arial" w:hAnsi="Arial" w:eastAsia="仿宋" w:cs="Arial"/>
          <w:color w:val="000000"/>
          <w:kern w:val="0"/>
          <w:sz w:val="24"/>
          <w:szCs w:val="24"/>
          <w:lang w:val="en-US" w:eastAsia="zh-CN" w:bidi="ar"/>
        </w:rPr>
        <w:t>.</w:t>
      </w:r>
    </w:p>
    <w:p>
      <w:pPr>
        <w:pStyle w:val="81"/>
        <w:keepNext w:val="0"/>
        <w:keepLines w:val="0"/>
        <w:widowControl/>
        <w:suppressLineNumbers w:val="0"/>
        <w:spacing w:before="0" w:beforeAutospacing="1" w:after="0" w:afterAutospacing="0" w:line="273" w:lineRule="auto"/>
        <w:ind w:left="720" w:right="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 xml:space="preserve"> </w:t>
      </w:r>
      <w:r>
        <w:rPr>
          <w:rFonts w:hint="eastAsia" w:ascii="仿宋" w:hAnsi="仿宋" w:eastAsia="仿宋" w:cs="仿宋"/>
          <w:kern w:val="0"/>
          <w:sz w:val="24"/>
          <w:szCs w:val="24"/>
          <w:lang w:val="en-US" w:eastAsia="zh-CN" w:bidi="ar"/>
        </w:rPr>
        <w:t>乙方运输车辆载重及规格需符合蒙古国</w:t>
      </w:r>
      <w:r>
        <w:rPr>
          <w:rFonts w:hint="eastAsia" w:ascii="仿宋" w:hAnsi="仿宋" w:eastAsia="仿宋" w:cs="仿宋"/>
          <w:color w:val="000000"/>
          <w:kern w:val="0"/>
          <w:sz w:val="24"/>
          <w:szCs w:val="24"/>
          <w:lang w:val="en-US" w:eastAsia="zh-CN" w:bidi="ar"/>
        </w:rPr>
        <w:t>《运输设备技术规范》</w:t>
      </w:r>
      <w:r>
        <w:rPr>
          <w:rFonts w:hint="eastAsia" w:ascii="仿宋" w:hAnsi="仿宋" w:eastAsia="仿宋" w:cs="仿宋"/>
          <w:kern w:val="0"/>
          <w:sz w:val="24"/>
          <w:szCs w:val="24"/>
          <w:lang w:val="en-US" w:eastAsia="zh-CN" w:bidi="ar"/>
        </w:rPr>
        <w:t>相关要求。</w:t>
      </w:r>
    </w:p>
    <w:p>
      <w:pPr>
        <w:pStyle w:val="81"/>
        <w:keepNext w:val="0"/>
        <w:keepLines w:val="0"/>
        <w:widowControl/>
        <w:numPr>
          <w:ilvl w:val="1"/>
          <w:numId w:val="27"/>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 xml:space="preserve">Захиалагчийн үйлдвэрлэлийн хэмжээнээс шалтгаалан тээвэрлэлтийн үйл ажиллагааг урьдчилан төлөвлөх, тогтмол хуваарь гаргах боломжгүй. Иймд тээвэрлэлт нь тухай бүрийн захиалгаар хэрэгжинэ. </w:t>
      </w:r>
    </w:p>
    <w:p>
      <w:pPr>
        <w:pStyle w:val="81"/>
        <w:keepNext w:val="0"/>
        <w:keepLines w:val="0"/>
        <w:widowControl/>
        <w:suppressLineNumbers w:val="0"/>
        <w:spacing w:before="0" w:beforeAutospacing="1" w:after="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由于乙方无法根据甲方生产产品数量、车皮数量等制定运输计划，因此运输方案按照每次预定为准。</w:t>
      </w:r>
    </w:p>
    <w:p>
      <w:pPr>
        <w:keepNext w:val="0"/>
        <w:keepLines w:val="0"/>
        <w:widowControl/>
        <w:suppressLineNumbers w:val="0"/>
        <w:spacing w:before="240" w:beforeAutospacing="0"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Гурав. Төлбөр тооцоо</w:t>
      </w:r>
      <w:r>
        <w:rPr>
          <w:rFonts w:hint="eastAsia" w:ascii="仿宋" w:hAnsi="仿宋" w:eastAsia="仿宋" w:cs="仿宋"/>
          <w:b/>
          <w:bCs/>
          <w:color w:val="000000"/>
          <w:kern w:val="0"/>
          <w:sz w:val="24"/>
          <w:szCs w:val="24"/>
          <w:lang w:val="en-US" w:eastAsia="zh-CN" w:bidi="ar"/>
        </w:rPr>
        <w:t>，</w:t>
      </w:r>
      <w:r>
        <w:rPr>
          <w:rFonts w:hint="default" w:ascii="Arial" w:hAnsi="Arial" w:eastAsia="仿宋" w:cs="Arial"/>
          <w:b/>
          <w:bCs/>
          <w:color w:val="000000"/>
          <w:kern w:val="0"/>
          <w:sz w:val="24"/>
          <w:szCs w:val="24"/>
          <w:lang w:val="en-US" w:eastAsia="zh-CN" w:bidi="ar"/>
        </w:rPr>
        <w:t>тээвэрлэх тоо хэмжээ</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仿宋" w:cs="Arial"/>
          <w:b/>
          <w:bCs/>
          <w:sz w:val="24"/>
          <w:szCs w:val="24"/>
        </w:rPr>
      </w:pPr>
      <w:r>
        <w:rPr>
          <w:rFonts w:hint="eastAsia" w:ascii="仿宋" w:hAnsi="仿宋" w:eastAsia="仿宋" w:cs="仿宋"/>
          <w:b/>
          <w:bCs/>
          <w:kern w:val="0"/>
          <w:sz w:val="24"/>
          <w:szCs w:val="24"/>
          <w:lang w:val="en-US" w:eastAsia="zh-CN" w:bidi="ar"/>
        </w:rPr>
        <w:t>三、运输费用、运输量</w:t>
      </w:r>
      <w:r>
        <w:rPr>
          <w:rFonts w:hint="default" w:ascii="Arial" w:hAnsi="Arial" w:eastAsia="仿宋" w:cs="Arial"/>
          <w:b/>
          <w:bCs/>
          <w:kern w:val="0"/>
          <w:sz w:val="24"/>
          <w:szCs w:val="24"/>
          <w:lang w:val="en-US" w:eastAsia="zh-CN" w:bidi="ar"/>
        </w:rPr>
        <w:t>/</w:t>
      </w:r>
      <w:r>
        <w:rPr>
          <w:rFonts w:hint="eastAsia" w:ascii="仿宋" w:hAnsi="仿宋" w:eastAsia="仿宋" w:cs="仿宋"/>
          <w:b/>
          <w:bCs/>
          <w:kern w:val="0"/>
          <w:sz w:val="24"/>
          <w:szCs w:val="24"/>
          <w:lang w:val="en-US" w:eastAsia="zh-CN" w:bidi="ar"/>
        </w:rPr>
        <w:t>吨</w:t>
      </w:r>
      <w:r>
        <w:rPr>
          <w:rFonts w:hint="default" w:ascii="Arial" w:hAnsi="Arial" w:eastAsia="仿宋" w:cs="Arial"/>
          <w:b/>
          <w:bCs/>
          <w:kern w:val="0"/>
          <w:sz w:val="24"/>
          <w:szCs w:val="24"/>
          <w:lang w:val="en-US" w:eastAsia="zh-CN" w:bidi="ar"/>
        </w:rPr>
        <w:t>/</w:t>
      </w:r>
      <w:r>
        <w:rPr>
          <w:rFonts w:hint="eastAsia" w:ascii="仿宋" w:hAnsi="仿宋" w:eastAsia="仿宋" w:cs="仿宋"/>
          <w:b/>
          <w:bCs/>
          <w:kern w:val="0"/>
          <w:sz w:val="24"/>
          <w:szCs w:val="24"/>
          <w:lang w:val="en-US" w:eastAsia="zh-CN" w:bidi="ar"/>
        </w:rPr>
        <w:t>公里</w:t>
      </w:r>
    </w:p>
    <w:p>
      <w:pPr>
        <w:pStyle w:val="81"/>
        <w:keepNext w:val="0"/>
        <w:keepLines w:val="0"/>
        <w:widowControl/>
        <w:numPr>
          <w:ilvl w:val="1"/>
          <w:numId w:val="28"/>
        </w:numPr>
        <w:suppressLineNumbers w:val="0"/>
        <w:spacing w:before="0" w:beforeAutospacing="1" w:after="16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 xml:space="preserve">Тээврийн хөлс: 1 тн/км тутамд </w:t>
      </w:r>
      <w:r>
        <w:rPr>
          <w:rFonts w:hint="eastAsia" w:ascii="Arial" w:hAnsi="Arial" w:eastAsia="仿宋" w:cs="Arial"/>
          <w:kern w:val="0"/>
          <w:sz w:val="24"/>
          <w:szCs w:val="24"/>
          <w:lang w:val="en-US" w:eastAsia="zh-CN" w:bidi="ar"/>
        </w:rPr>
        <w:t>***</w:t>
      </w:r>
      <w:r>
        <w:rPr>
          <w:rFonts w:hint="default" w:ascii="Arial" w:hAnsi="Arial" w:eastAsia="仿宋" w:cs="Arial"/>
          <w:kern w:val="0"/>
          <w:sz w:val="24"/>
          <w:szCs w:val="24"/>
          <w:lang w:val="en-US" w:eastAsia="zh-CN" w:bidi="ar"/>
        </w:rPr>
        <w:t xml:space="preserve"> төгрөг, тээвэрлэлтийн зай 245</w:t>
      </w:r>
      <w:r>
        <w:rPr>
          <w:rFonts w:hint="eastAsia" w:ascii="Arial" w:hAnsi="Arial" w:eastAsia="仿宋" w:cs="Arial"/>
          <w:kern w:val="0"/>
          <w:sz w:val="24"/>
          <w:szCs w:val="24"/>
          <w:lang w:val="en-US" w:eastAsia="zh-CN" w:bidi="ar"/>
        </w:rPr>
        <w:t xml:space="preserve"> </w:t>
      </w:r>
      <w:r>
        <w:rPr>
          <w:rFonts w:hint="default" w:ascii="Arial" w:hAnsi="Arial" w:eastAsia="仿宋" w:cs="Arial"/>
          <w:kern w:val="0"/>
          <w:sz w:val="24"/>
          <w:szCs w:val="24"/>
          <w:lang w:val="en-US" w:eastAsia="zh-CN" w:bidi="ar"/>
        </w:rPr>
        <w:t>км. Тээвэрлэх</w:t>
      </w:r>
      <w:r>
        <w:rPr>
          <w:rFonts w:hint="eastAsia" w:ascii="Arial" w:hAnsi="Arial" w:eastAsia="仿宋" w:cs="Arial"/>
          <w:kern w:val="0"/>
          <w:sz w:val="24"/>
          <w:szCs w:val="24"/>
          <w:lang w:val="en-US" w:eastAsia="zh-CN" w:bidi="ar"/>
        </w:rPr>
        <w:t xml:space="preserve"> </w:t>
      </w:r>
      <w:r>
        <w:rPr>
          <w:rFonts w:hint="default" w:ascii="Arial" w:hAnsi="Arial" w:eastAsia="仿宋" w:cs="Arial"/>
          <w:kern w:val="0"/>
          <w:sz w:val="24"/>
          <w:szCs w:val="24"/>
          <w:lang w:val="en-US" w:eastAsia="zh-CN" w:bidi="ar"/>
        </w:rPr>
        <w:t xml:space="preserve"> баяжмалын</w:t>
      </w:r>
      <w:r>
        <w:rPr>
          <w:rFonts w:hint="eastAsia" w:ascii="Arial" w:hAnsi="Arial" w:eastAsia="仿宋" w:cs="Arial"/>
          <w:kern w:val="0"/>
          <w:sz w:val="24"/>
          <w:szCs w:val="24"/>
          <w:lang w:val="en-US" w:eastAsia="zh-CN" w:bidi="ar"/>
        </w:rPr>
        <w:t xml:space="preserve"> </w:t>
      </w:r>
      <w:r>
        <w:rPr>
          <w:rFonts w:hint="default" w:ascii="Arial" w:hAnsi="Arial" w:eastAsia="仿宋" w:cs="Arial"/>
          <w:kern w:val="0"/>
          <w:sz w:val="24"/>
          <w:szCs w:val="24"/>
          <w:lang w:val="en-US" w:eastAsia="zh-CN" w:bidi="ar"/>
        </w:rPr>
        <w:t>тоо хэмжээ</w:t>
      </w:r>
      <w:r>
        <w:rPr>
          <w:rFonts w:hint="eastAsia" w:ascii="仿宋" w:hAnsi="仿宋" w:eastAsia="仿宋" w:cs="仿宋"/>
          <w:kern w:val="0"/>
          <w:sz w:val="24"/>
          <w:szCs w:val="24"/>
          <w:lang w:val="en-US" w:eastAsia="zh-CN" w:bidi="ar"/>
        </w:rPr>
        <w:t>：</w:t>
      </w:r>
      <w:r>
        <w:rPr>
          <w:rFonts w:hint="eastAsia" w:ascii="Arial" w:hAnsi="Arial" w:eastAsia="仿宋" w:cs="Arial"/>
          <w:kern w:val="0"/>
          <w:sz w:val="24"/>
          <w:szCs w:val="24"/>
          <w:lang w:val="en-US" w:eastAsia="zh-CN" w:bidi="ar"/>
        </w:rPr>
        <w:t>1500</w:t>
      </w:r>
      <w:r>
        <w:rPr>
          <w:rFonts w:hint="default" w:ascii="Arial" w:hAnsi="Arial" w:eastAsia="仿宋" w:cs="Arial"/>
          <w:kern w:val="0"/>
          <w:sz w:val="24"/>
          <w:szCs w:val="24"/>
          <w:lang w:val="en-US" w:eastAsia="zh-CN" w:bidi="ar"/>
        </w:rPr>
        <w:t>0тн. Гэрээний нийт дүн:</w:t>
      </w:r>
      <w:r>
        <w:rPr>
          <w:rFonts w:hint="eastAsia" w:ascii="Arial" w:hAnsi="Arial" w:eastAsia="仿宋" w:cs="Arial"/>
          <w:kern w:val="0"/>
          <w:sz w:val="24"/>
          <w:szCs w:val="24"/>
          <w:lang w:val="en-US" w:eastAsia="zh-CN" w:bidi="ar"/>
        </w:rPr>
        <w:t>****</w:t>
      </w:r>
      <w:r>
        <w:rPr>
          <w:rFonts w:hint="default" w:ascii="Arial" w:hAnsi="Arial" w:eastAsia="仿宋" w:cs="Arial"/>
          <w:kern w:val="0"/>
          <w:sz w:val="24"/>
          <w:szCs w:val="24"/>
          <w:lang w:val="en-US" w:eastAsia="zh-CN" w:bidi="ar"/>
        </w:rPr>
        <w:t>төгрөг бөгөөд энэ үнэд гэрээг</w:t>
      </w:r>
      <w:r>
        <w:rPr>
          <w:rFonts w:hint="eastAsia" w:ascii="Arial" w:hAnsi="Arial" w:eastAsia="仿宋" w:cs="Arial"/>
          <w:kern w:val="0"/>
          <w:sz w:val="24"/>
          <w:szCs w:val="24"/>
          <w:lang w:val="en-US" w:eastAsia="zh-CN" w:bidi="ar"/>
        </w:rPr>
        <w:t xml:space="preserve"> </w:t>
      </w:r>
      <w:r>
        <w:rPr>
          <w:rFonts w:hint="default" w:ascii="Arial" w:hAnsi="Arial" w:eastAsia="仿宋" w:cs="Arial"/>
          <w:kern w:val="0"/>
          <w:sz w:val="24"/>
          <w:szCs w:val="24"/>
          <w:lang w:val="en-US" w:eastAsia="zh-CN" w:bidi="ar"/>
        </w:rPr>
        <w:t>хэрэгжүүлэхтэй холбогдон гарах бүх зардал</w:t>
      </w:r>
      <w:r>
        <w:rPr>
          <w:rFonts w:hint="eastAsia" w:ascii="仿宋" w:hAnsi="仿宋" w:eastAsia="仿宋" w:cs="仿宋"/>
          <w:kern w:val="0"/>
          <w:sz w:val="24"/>
          <w:szCs w:val="24"/>
          <w:lang w:val="en-US" w:eastAsia="zh-CN" w:bidi="ar"/>
        </w:rPr>
        <w:t>（</w:t>
      </w:r>
      <w:r>
        <w:rPr>
          <w:rFonts w:hint="default" w:ascii="Arial" w:hAnsi="Arial" w:eastAsia="仿宋" w:cs="Arial"/>
          <w:kern w:val="0"/>
          <w:sz w:val="24"/>
          <w:szCs w:val="24"/>
          <w:lang w:val="en-US" w:eastAsia="zh-CN" w:bidi="ar"/>
        </w:rPr>
        <w:t>түлш, тос, тослох материал,  жолоочийн цалин хөлс, хоол, буудал, засвар үйлчилгээ, НӨАТ, бүх төрлийн татвар хураамж зэрэг</w:t>
      </w:r>
      <w:r>
        <w:rPr>
          <w:rFonts w:hint="eastAsia" w:ascii="仿宋" w:hAnsi="仿宋" w:eastAsia="仿宋" w:cs="仿宋"/>
          <w:kern w:val="0"/>
          <w:sz w:val="24"/>
          <w:szCs w:val="24"/>
          <w:lang w:val="en-US" w:eastAsia="zh-CN" w:bidi="ar"/>
        </w:rPr>
        <w:t>）</w:t>
      </w:r>
      <w:r>
        <w:rPr>
          <w:rFonts w:hint="default" w:ascii="Arial" w:hAnsi="Arial" w:eastAsia="仿宋" w:cs="Arial"/>
          <w:kern w:val="0"/>
          <w:sz w:val="24"/>
          <w:szCs w:val="24"/>
          <w:lang w:val="en-US" w:eastAsia="zh-CN" w:bidi="ar"/>
        </w:rPr>
        <w:t>багтсан болно.</w:t>
      </w:r>
    </w:p>
    <w:p>
      <w:pPr>
        <w:pStyle w:val="81"/>
        <w:keepNext w:val="0"/>
        <w:keepLines w:val="0"/>
        <w:widowControl/>
        <w:suppressLineNumbers w:val="0"/>
        <w:spacing w:before="0" w:beforeAutospacing="1" w:after="160" w:afterAutospacing="0" w:line="273" w:lineRule="auto"/>
        <w:ind w:left="720" w:right="0"/>
        <w:contextualSpacing/>
        <w:jc w:val="both"/>
        <w:rPr>
          <w:rFonts w:hint="eastAsia" w:ascii="Arial" w:hAnsi="Arial" w:eastAsia="仿宋" w:cs="Arial"/>
          <w:sz w:val="24"/>
          <w:szCs w:val="24"/>
        </w:rPr>
      </w:pPr>
      <w:r>
        <w:rPr>
          <w:rFonts w:hint="eastAsia" w:ascii="仿宋" w:hAnsi="仿宋" w:eastAsia="仿宋" w:cs="仿宋"/>
          <w:kern w:val="0"/>
          <w:sz w:val="24"/>
          <w:szCs w:val="24"/>
          <w:lang w:val="en-US" w:eastAsia="zh-CN" w:bidi="ar"/>
        </w:rPr>
        <w:t>运输费：</w:t>
      </w:r>
      <w:r>
        <w:rPr>
          <w:rFonts w:hint="eastAsia" w:ascii="Arial" w:hAnsi="Arial" w:eastAsia="仿宋" w:cs="Arial"/>
          <w:kern w:val="0"/>
          <w:sz w:val="24"/>
          <w:szCs w:val="24"/>
          <w:lang w:val="en-US" w:eastAsia="zh-CN" w:bidi="ar"/>
        </w:rPr>
        <w:t>***</w:t>
      </w:r>
      <w:r>
        <w:rPr>
          <w:rFonts w:hint="eastAsia" w:ascii="仿宋" w:hAnsi="仿宋" w:eastAsia="仿宋" w:cs="仿宋"/>
          <w:kern w:val="0"/>
          <w:sz w:val="24"/>
          <w:szCs w:val="24"/>
          <w:lang w:val="en-US" w:eastAsia="zh-CN" w:bidi="ar"/>
        </w:rPr>
        <w:t>图格里克</w:t>
      </w:r>
      <w:r>
        <w:rPr>
          <w:rFonts w:hint="default" w:ascii="Arial" w:hAnsi="Arial" w:eastAsia="仿宋" w:cs="Arial"/>
          <w:kern w:val="0"/>
          <w:sz w:val="24"/>
          <w:szCs w:val="24"/>
          <w:lang w:val="en-US" w:eastAsia="zh-CN" w:bidi="ar"/>
        </w:rPr>
        <w:t>/</w:t>
      </w:r>
      <w:r>
        <w:rPr>
          <w:rFonts w:hint="eastAsia" w:ascii="仿宋" w:hAnsi="仿宋" w:eastAsia="仿宋" w:cs="仿宋"/>
          <w:kern w:val="0"/>
          <w:sz w:val="24"/>
          <w:szCs w:val="24"/>
          <w:lang w:val="en-US" w:eastAsia="zh-CN" w:bidi="ar"/>
        </w:rPr>
        <w:t>吨</w:t>
      </w:r>
      <w:r>
        <w:rPr>
          <w:rFonts w:hint="default" w:ascii="Arial" w:hAnsi="Arial" w:eastAsia="仿宋" w:cs="Arial"/>
          <w:kern w:val="0"/>
          <w:sz w:val="24"/>
          <w:szCs w:val="24"/>
          <w:lang w:val="en-US" w:eastAsia="zh-CN" w:bidi="ar"/>
        </w:rPr>
        <w:t>/</w:t>
      </w:r>
      <w:r>
        <w:rPr>
          <w:rFonts w:hint="eastAsia" w:ascii="仿宋" w:hAnsi="仿宋" w:eastAsia="仿宋" w:cs="仿宋"/>
          <w:kern w:val="0"/>
          <w:sz w:val="24"/>
          <w:szCs w:val="24"/>
          <w:lang w:val="en-US" w:eastAsia="zh-CN" w:bidi="ar"/>
        </w:rPr>
        <w:t>公里，运输距离</w:t>
      </w:r>
      <w:r>
        <w:rPr>
          <w:rFonts w:hint="default" w:ascii="Arial" w:hAnsi="Arial" w:eastAsia="仿宋" w:cs="Arial"/>
          <w:kern w:val="0"/>
          <w:sz w:val="24"/>
          <w:szCs w:val="24"/>
          <w:lang w:val="en-US" w:eastAsia="zh-CN" w:bidi="ar"/>
        </w:rPr>
        <w:t>245</w:t>
      </w:r>
      <w:r>
        <w:rPr>
          <w:rFonts w:hint="eastAsia" w:ascii="仿宋" w:hAnsi="仿宋" w:eastAsia="仿宋" w:cs="仿宋"/>
          <w:kern w:val="0"/>
          <w:sz w:val="24"/>
          <w:szCs w:val="24"/>
          <w:lang w:val="en-US" w:eastAsia="zh-CN" w:bidi="ar"/>
        </w:rPr>
        <w:t>公里。精矿运输量：</w:t>
      </w:r>
      <w:r>
        <w:rPr>
          <w:rFonts w:hint="eastAsia" w:ascii="Arial" w:hAnsi="Arial" w:eastAsia="仿宋" w:cs="Arial"/>
          <w:kern w:val="0"/>
          <w:sz w:val="24"/>
          <w:szCs w:val="24"/>
          <w:lang w:val="en-US" w:eastAsia="zh-CN" w:bidi="ar"/>
        </w:rPr>
        <w:t>15000</w:t>
      </w:r>
      <w:r>
        <w:rPr>
          <w:rFonts w:hint="eastAsia" w:ascii="仿宋" w:hAnsi="仿宋" w:eastAsia="仿宋" w:cs="仿宋"/>
          <w:kern w:val="0"/>
          <w:sz w:val="24"/>
          <w:szCs w:val="24"/>
          <w:lang w:val="en-US" w:eastAsia="zh-CN" w:bidi="ar"/>
        </w:rPr>
        <w:t>吨，合同总价：</w:t>
      </w:r>
      <w:r>
        <w:rPr>
          <w:rFonts w:hint="eastAsia" w:ascii="Arial" w:hAnsi="Arial" w:eastAsia="仿宋" w:cs="Arial"/>
          <w:kern w:val="0"/>
          <w:sz w:val="24"/>
          <w:szCs w:val="24"/>
          <w:lang w:val="en-US" w:eastAsia="zh-CN" w:bidi="ar"/>
        </w:rPr>
        <w:t>***</w:t>
      </w:r>
      <w:r>
        <w:rPr>
          <w:rFonts w:hint="eastAsia" w:ascii="仿宋" w:hAnsi="仿宋" w:eastAsia="仿宋" w:cs="仿宋"/>
          <w:kern w:val="0"/>
          <w:sz w:val="24"/>
          <w:szCs w:val="24"/>
          <w:lang w:val="en-US" w:eastAsia="zh-CN" w:bidi="ar"/>
        </w:rPr>
        <w:t>图格里克。此价格包含承包商为履行本合同而产生的所有费用（燃油、机油、润滑油、司机工资、餐饮、住宿、维修、增值税、各类税费等）。</w:t>
      </w:r>
    </w:p>
    <w:p>
      <w:pPr>
        <w:pStyle w:val="81"/>
        <w:keepNext w:val="0"/>
        <w:keepLines w:val="0"/>
        <w:widowControl/>
        <w:numPr>
          <w:ilvl w:val="1"/>
          <w:numId w:val="29"/>
        </w:numPr>
        <w:suppressLineNumbers w:val="0"/>
        <w:spacing w:before="240" w:beforeAutospacing="0" w:after="16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Calibri" w:cs="Arial"/>
          <w:kern w:val="0"/>
          <w:sz w:val="24"/>
          <w:szCs w:val="24"/>
          <w:lang w:val="en-US" w:eastAsia="zh-CN" w:bidi="ar"/>
        </w:rPr>
        <w:t xml:space="preserve">Сар бүрийн 25-ны өдрөөр тасалбар болгон гаалийн хяналтын бүсийн буюу ачилтын пүүний жинг үндэслэн тээврийн зардлыг тооцно. Захиалагч нэхэмжлэхийг хүлээн авснаас хойш ажлын </w:t>
      </w:r>
      <w:r>
        <w:rPr>
          <w:rFonts w:hint="default" w:ascii="Arial" w:hAnsi="Arial" w:eastAsia="等线" w:cs="Arial"/>
          <w:kern w:val="0"/>
          <w:sz w:val="24"/>
          <w:szCs w:val="24"/>
          <w:lang w:val="en-US" w:eastAsia="zh-CN" w:bidi="ar"/>
        </w:rPr>
        <w:t>7</w:t>
      </w:r>
      <w:r>
        <w:rPr>
          <w:rFonts w:hint="default" w:ascii="Arial" w:hAnsi="Arial" w:eastAsia="Calibri" w:cs="Arial"/>
          <w:kern w:val="0"/>
          <w:sz w:val="24"/>
          <w:szCs w:val="24"/>
          <w:lang w:val="en-US" w:eastAsia="zh-CN" w:bidi="ar"/>
        </w:rPr>
        <w:t xml:space="preserve"> хоногийн дотор гүйцэтгэгчийн Голомт банк дахь </w:t>
      </w:r>
      <w:r>
        <w:rPr>
          <w:rFonts w:hint="eastAsia" w:ascii="Arial" w:hAnsi="Arial" w:eastAsia="Calibri" w:cs="Arial"/>
          <w:kern w:val="0"/>
          <w:sz w:val="24"/>
          <w:szCs w:val="24"/>
          <w:lang w:val="en-US" w:eastAsia="zh-CN" w:bidi="ar"/>
        </w:rPr>
        <w:t>****</w:t>
      </w:r>
      <w:r>
        <w:rPr>
          <w:rFonts w:hint="default" w:ascii="Arial" w:hAnsi="Arial" w:eastAsia="Calibri" w:cs="Arial"/>
          <w:kern w:val="0"/>
          <w:sz w:val="24"/>
          <w:szCs w:val="24"/>
          <w:lang w:val="en-US" w:eastAsia="zh-CN" w:bidi="ar"/>
        </w:rPr>
        <w:t xml:space="preserve"> тоот дансанд шилжүүлнэ. </w:t>
      </w:r>
      <w:r>
        <w:rPr>
          <w:rFonts w:hint="default" w:ascii="Calibri" w:hAnsi="Calibri" w:cs="Calibri"/>
          <w:kern w:val="0"/>
          <w:sz w:val="24"/>
          <w:szCs w:val="24"/>
          <w:lang w:val="en-US" w:eastAsia="zh-CN" w:bidi="ar"/>
        </w:rPr>
        <w:t xml:space="preserve">Б тал төлбөр хүлээн авсны дараа А талд </w:t>
      </w:r>
      <w:r>
        <w:rPr>
          <w:rFonts w:hint="default" w:ascii="Arial" w:hAnsi="Arial" w:cs="Arial"/>
          <w:kern w:val="0"/>
          <w:sz w:val="24"/>
          <w:szCs w:val="24"/>
          <w:lang w:val="en-US" w:eastAsia="zh-CN" w:bidi="ar"/>
        </w:rPr>
        <w:t xml:space="preserve">7 </w:t>
      </w:r>
      <w:r>
        <w:rPr>
          <w:rFonts w:hint="default" w:ascii="Calibri" w:hAnsi="Calibri" w:cs="Calibri"/>
          <w:kern w:val="0"/>
          <w:sz w:val="24"/>
          <w:szCs w:val="24"/>
          <w:lang w:val="en-US" w:eastAsia="zh-CN" w:bidi="ar"/>
        </w:rPr>
        <w:t>хоногийн дотор баримт гаргаж өгнө</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每月</w:t>
      </w:r>
      <w:r>
        <w:rPr>
          <w:rFonts w:hint="default" w:ascii="Arial" w:hAnsi="Arial" w:eastAsia="仿宋" w:cs="Arial"/>
          <w:kern w:val="0"/>
          <w:sz w:val="24"/>
          <w:szCs w:val="24"/>
          <w:lang w:val="en-US" w:eastAsia="zh-CN" w:bidi="ar"/>
        </w:rPr>
        <w:t>25</w:t>
      </w:r>
      <w:r>
        <w:rPr>
          <w:rFonts w:hint="eastAsia" w:ascii="仿宋" w:hAnsi="仿宋" w:eastAsia="仿宋" w:cs="仿宋"/>
          <w:kern w:val="0"/>
          <w:sz w:val="24"/>
          <w:szCs w:val="24"/>
          <w:lang w:val="en-US" w:eastAsia="zh-CN" w:bidi="ar"/>
        </w:rPr>
        <w:t>日为截止根据地磅计量确定运输费用。甲方应在收到催款单后核定无误后，</w:t>
      </w:r>
      <w:r>
        <w:rPr>
          <w:rFonts w:hint="default" w:ascii="Arial" w:hAnsi="Arial" w:eastAsia="仿宋" w:cs="Arial"/>
          <w:kern w:val="0"/>
          <w:sz w:val="24"/>
          <w:szCs w:val="24"/>
          <w:lang w:val="en-US" w:eastAsia="zh-CN" w:bidi="ar"/>
        </w:rPr>
        <w:t>7</w:t>
      </w:r>
      <w:r>
        <w:rPr>
          <w:rFonts w:hint="eastAsia" w:ascii="仿宋" w:hAnsi="仿宋" w:eastAsia="仿宋" w:cs="仿宋"/>
          <w:kern w:val="0"/>
          <w:sz w:val="24"/>
          <w:szCs w:val="24"/>
          <w:lang w:val="en-US" w:eastAsia="zh-CN" w:bidi="ar"/>
        </w:rPr>
        <w:t>个工作日内将合同款支付到乙方郭勒莫特银行账户，账号：****。乙方在收到款项后，</w:t>
      </w:r>
      <w:r>
        <w:rPr>
          <w:rFonts w:hint="default" w:ascii="Arial" w:hAnsi="Arial" w:eastAsia="仿宋" w:cs="Arial"/>
          <w:kern w:val="0"/>
          <w:sz w:val="24"/>
          <w:szCs w:val="24"/>
          <w:lang w:val="en-US" w:eastAsia="zh-CN" w:bidi="ar"/>
        </w:rPr>
        <w:t>7</w:t>
      </w:r>
      <w:r>
        <w:rPr>
          <w:rFonts w:hint="eastAsia" w:ascii="仿宋" w:hAnsi="仿宋" w:eastAsia="仿宋" w:cs="仿宋"/>
          <w:kern w:val="0"/>
          <w:sz w:val="24"/>
          <w:szCs w:val="24"/>
          <w:lang w:val="en-US" w:eastAsia="zh-CN" w:bidi="ar"/>
        </w:rPr>
        <w:t>日内开具发票提供给甲方。</w:t>
      </w:r>
    </w:p>
    <w:p>
      <w:pPr>
        <w:pStyle w:val="81"/>
        <w:keepNext w:val="0"/>
        <w:keepLines w:val="0"/>
        <w:widowControl/>
        <w:numPr>
          <w:ilvl w:val="1"/>
          <w:numId w:val="29"/>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Захиалагч нь гэрээнд заасан тээврийн хөлсөөс өөр бусад ямар нэгэн төлбөр, зардал хариуцахгүй.</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除合同规定的运输费用外，甲方不承担任何费用或成本</w:t>
      </w:r>
    </w:p>
    <w:p>
      <w:pPr>
        <w:keepNext w:val="0"/>
        <w:keepLines w:val="0"/>
        <w:widowControl/>
        <w:suppressLineNumbers w:val="0"/>
        <w:spacing w:before="240" w:beforeAutospacing="0"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Дөрөв. Талуудын эрх үүрэг</w:t>
      </w:r>
    </w:p>
    <w:p>
      <w:pPr>
        <w:keepNext w:val="0"/>
        <w:keepLines w:val="0"/>
        <w:widowControl/>
        <w:suppressLineNumbers w:val="0"/>
        <w:spacing w:before="240" w:beforeAutospacing="0" w:after="160" w:afterAutospacing="0" w:line="273" w:lineRule="auto"/>
        <w:ind w:left="0" w:right="0"/>
        <w:contextualSpacing/>
        <w:jc w:val="center"/>
        <w:rPr>
          <w:rFonts w:hint="default" w:ascii="Arial" w:hAnsi="Arial" w:eastAsia="仿宋" w:cs="Arial"/>
          <w:b/>
          <w:bCs/>
          <w:color w:val="000000"/>
          <w:sz w:val="24"/>
          <w:szCs w:val="24"/>
        </w:rPr>
      </w:pPr>
      <w:r>
        <w:rPr>
          <w:rFonts w:hint="eastAsia" w:ascii="仿宋" w:hAnsi="仿宋" w:eastAsia="仿宋" w:cs="仿宋"/>
          <w:b/>
          <w:bCs/>
          <w:color w:val="000000"/>
          <w:kern w:val="0"/>
          <w:sz w:val="24"/>
          <w:szCs w:val="24"/>
          <w:lang w:val="en-US" w:eastAsia="zh-CN" w:bidi="ar"/>
        </w:rPr>
        <w:t>四、双方的权利与义务</w:t>
      </w:r>
    </w:p>
    <w:p>
      <w:pPr>
        <w:pStyle w:val="81"/>
        <w:keepNext w:val="0"/>
        <w:keepLines w:val="0"/>
        <w:widowControl/>
        <w:numPr>
          <w:ilvl w:val="1"/>
          <w:numId w:val="30"/>
        </w:numPr>
        <w:suppressLineNumbers w:val="0"/>
        <w:spacing w:before="0" w:beforeAutospacing="1" w:after="16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仿宋" w:cs="Arial"/>
          <w:b/>
          <w:bCs w:val="0"/>
          <w:kern w:val="0"/>
          <w:sz w:val="24"/>
          <w:szCs w:val="24"/>
          <w:lang w:val="en-US" w:eastAsia="zh-CN" w:bidi="ar"/>
        </w:rPr>
        <w:t>Гүйцэтгэгчийн үүрэг</w:t>
      </w:r>
      <w:r>
        <w:rPr>
          <w:rFonts w:hint="eastAsia" w:ascii="仿宋" w:hAnsi="仿宋" w:eastAsia="仿宋" w:cs="仿宋"/>
          <w:b/>
          <w:bCs w:val="0"/>
          <w:kern w:val="0"/>
          <w:sz w:val="24"/>
          <w:szCs w:val="24"/>
          <w:lang w:val="en-US" w:eastAsia="zh-CN" w:bidi="ar"/>
        </w:rPr>
        <w:t>乙方的义务</w:t>
      </w:r>
      <w:r>
        <w:rPr>
          <w:rFonts w:hint="default" w:ascii="Arial" w:hAnsi="Arial" w:eastAsia="仿宋" w:cs="Arial"/>
          <w:b/>
          <w:bCs w:val="0"/>
          <w:kern w:val="0"/>
          <w:sz w:val="24"/>
          <w:szCs w:val="24"/>
          <w:lang w:val="en-US" w:eastAsia="zh-CN" w:bidi="ar"/>
        </w:rPr>
        <w:t xml:space="preserve">: </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Барааг захиалагчийн захиалсан цаг хугацаанд, түргэн шуурхай тээвэрлэхэд хүрэлцэхүйц тооны тээврийн хэрэгслийг бэлэн байлгаж, тээвэрлэлтийг батлагдсан түр чиглэлийн дагуу, аюулгүй гүйцэтгэнэ. Нэгэн зэрэг 10-аас доошгүй тооны тээврийн хэрэгсэл тээвэрлэлтэд оролцуулах чадвартай байна.</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按照甲方预定的时间，快速准备充足的运输设备，按时、按照政府批准的临时路线、安全完成货物运输工作。一次应提供</w:t>
      </w:r>
      <w:r>
        <w:rPr>
          <w:rFonts w:hint="default" w:ascii="Arial" w:hAnsi="Arial" w:eastAsia="仿宋" w:cs="Arial"/>
          <w:kern w:val="0"/>
          <w:sz w:val="24"/>
          <w:szCs w:val="24"/>
          <w:lang w:val="en-US" w:eastAsia="zh-CN" w:bidi="ar"/>
        </w:rPr>
        <w:t>5</w:t>
      </w:r>
      <w:r>
        <w:rPr>
          <w:rFonts w:hint="eastAsia" w:ascii="仿宋" w:hAnsi="仿宋" w:eastAsia="仿宋" w:cs="仿宋"/>
          <w:kern w:val="0"/>
          <w:sz w:val="24"/>
          <w:szCs w:val="24"/>
          <w:lang w:val="en-US" w:eastAsia="zh-CN" w:bidi="ar"/>
        </w:rPr>
        <w:t>辆以上运输设备参与完成相关工作。</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Тээвэрлэлтийн хугацаанд ачааны бүрэн бүтэн, аюулгүй байдлыг хариуцаж, тээвэрлэлтийн явцад гарч болох эрсдлээс урьдчилан сэргийлж, техникийн бүрэн бүтэн байдлыг хангаж, үүссэн саад бэрхшээлийг бие даан зохицуулахаас гадна тогтсон хугацаанд ачааг хүргэж чадахгүйд хүрвэл цаг тухайд нь захиалагчид мэдэгдэнэ.</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运输过程中乙方应保障产品完整、安全情况，应提前预防运输过程中的各种事故，确保车辆完整性，应独立解决运输过程中发生的相关情况，并在超过规定期限仍无法交付货物的情况下，及时通报甲方。</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Ачилт буулгалт хийх үед талбай хариуцсан ажилтны зааварчилгаа,    талбайн аюулгүй ажиллагааны дүрэм журмыг чанд мөрдөхийн зэрэгцээ гаалийн болон бусад хяналтын байгууллагуудын шаардлагыг хангаж ажиллана.</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000000"/>
          <w:sz w:val="24"/>
          <w:szCs w:val="24"/>
        </w:rPr>
      </w:pPr>
      <w:r>
        <w:rPr>
          <w:rFonts w:hint="eastAsia" w:ascii="仿宋" w:hAnsi="仿宋" w:eastAsia="仿宋" w:cs="仿宋"/>
          <w:kern w:val="0"/>
          <w:sz w:val="24"/>
          <w:szCs w:val="24"/>
          <w:lang w:val="en-US" w:eastAsia="zh-CN" w:bidi="ar"/>
        </w:rPr>
        <w:t>乙方车辆进行装卸时，应遵守甲方现场负责人的指挥和相关安全管理制度，以及铁路、海关相关管理规定。</w:t>
      </w:r>
      <w:r>
        <w:rPr>
          <w:rFonts w:hint="default" w:ascii="Arial" w:hAnsi="Arial" w:eastAsia="仿宋" w:cs="Arial"/>
          <w:bCs/>
          <w:color w:val="000000"/>
          <w:kern w:val="0"/>
          <w:sz w:val="24"/>
          <w:szCs w:val="24"/>
          <w:lang w:val="en-US" w:eastAsia="zh-CN" w:bidi="ar"/>
        </w:rPr>
        <w:t xml:space="preserve"> </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 xml:space="preserve">Захиалагчийн ачилт хариуцсан ажилтантай хамтран ачилт буулгалтын ажилд хяналт тавина. </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000000"/>
          <w:sz w:val="24"/>
          <w:szCs w:val="24"/>
        </w:rPr>
      </w:pPr>
      <w:r>
        <w:rPr>
          <w:rFonts w:hint="eastAsia" w:ascii="仿宋" w:hAnsi="仿宋" w:eastAsia="仿宋" w:cs="仿宋"/>
          <w:kern w:val="0"/>
          <w:sz w:val="24"/>
          <w:szCs w:val="24"/>
          <w:lang w:val="en-US" w:eastAsia="zh-CN" w:bidi="ar"/>
        </w:rPr>
        <w:t>装车过程中乙方司机及甲方装车负责人共同负责现场监督。</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kern w:val="0"/>
          <w:sz w:val="24"/>
          <w:szCs w:val="24"/>
          <w:lang w:val="en-US" w:eastAsia="zh-CN" w:bidi="ar"/>
        </w:rPr>
        <w:t>Ачааг автомашинд ачсаны дараа хучиж, гаалийн ажилтнаар ачааг лацдаж битүүмжлүүлэх бөгөөд цувааны сүүлийн машины жолооч дугтуйнд хийж битүүмжилсэн экспортын гаалийн мэдүүлгийг авч, Хавирга дахь гаалийн салбарт ирсэний дараа битүүмжилсэн гаалийн мэдүүлгийг гаалийн байцаагчид   хүлээлгэн өгнө.</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000000"/>
          <w:sz w:val="24"/>
          <w:szCs w:val="24"/>
        </w:rPr>
      </w:pPr>
      <w:r>
        <w:rPr>
          <w:rFonts w:hint="eastAsia" w:ascii="仿宋" w:hAnsi="仿宋" w:eastAsia="仿宋" w:cs="仿宋"/>
          <w:kern w:val="0"/>
          <w:sz w:val="24"/>
          <w:szCs w:val="24"/>
          <w:lang w:val="en-US" w:eastAsia="zh-CN" w:bidi="ar"/>
        </w:rPr>
        <w:t>货物装车后，海关官员将对货物进行覆盖和密封。车队最后一辆车的司机将把密封的出口报关单放入信封中，并在抵达哈毕日嘎海关办公室时将其交给海关检查员。</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 xml:space="preserve">Тээвэрлэлтийн аюулгүй ажиллагааны дотоод хэм хэмжээтэй, гаалийн байгууллагын итгэмжлэлтэй байхаас гадна тээвэрлэлт хийхэд шаардлагатай  бичиг баримтуудын бүрдлийг хангана. </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除符合运输工作安全规范、持有海关许可外，还应具备其他运输工作要求的文件。</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Тээврийн хэрэгсэл бүрийг GPS болон бусад хэрэгслээр тоноглож, захиалагч талд хөдөлгөөнийг хянах боломжийг бүрдүүлнэ.</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乙方必须按相关部门要求为每台车配备</w:t>
      </w:r>
      <w:r>
        <w:rPr>
          <w:rFonts w:hint="default" w:ascii="Arial" w:hAnsi="Arial" w:eastAsia="仿宋" w:cs="Arial"/>
          <w:kern w:val="0"/>
          <w:sz w:val="24"/>
          <w:szCs w:val="24"/>
          <w:lang w:val="en-US" w:eastAsia="zh-CN" w:bidi="ar"/>
        </w:rPr>
        <w:t>GPS</w:t>
      </w:r>
      <w:r>
        <w:rPr>
          <w:rFonts w:hint="eastAsia" w:ascii="仿宋" w:hAnsi="仿宋" w:eastAsia="仿宋" w:cs="仿宋"/>
          <w:kern w:val="0"/>
          <w:sz w:val="24"/>
          <w:szCs w:val="24"/>
          <w:lang w:val="en-US" w:eastAsia="zh-CN" w:bidi="ar"/>
        </w:rPr>
        <w:t>等设备，确保甲方能够对工作情况进行监督。</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Тээвэрлэлтийг зөвхөн тухайн тохирсон ангилал бүхий, мэргэшсэн жолоочоор гүйцэтгүүлэх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运输必须由具有相应类别操作证的合格驾驶员进行。</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Төрийн эрх бүхий байгууллагаас тогтоосон хурдны хязгаарыг баримтлах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运输车辆应遵守政府部门规定的速度限制。</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Гүйцэтгэгч нь Гаалийн тухай хуулийн 38 дугаар зүйлийн 38.2.4-д заасны дагуу барааг гаалийн хилээр хууль бусаар нэвтрүүлэх зорилгоор тээврийн хэрэгслийг нуувч болгон ашиглахгүй, эсхүл ийм боломж олгохгүй байх үүрэг хүлээнэ.</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承包商承诺不利用运输车辆作为非法运输违禁品货物的用途，也不提供此类机会，以符合《海关法》第</w:t>
      </w:r>
      <w:r>
        <w:rPr>
          <w:rFonts w:hint="default" w:ascii="Arial" w:hAnsi="Arial" w:eastAsia="仿宋" w:cs="Arial"/>
          <w:bCs/>
          <w:kern w:val="0"/>
          <w:sz w:val="24"/>
          <w:szCs w:val="24"/>
          <w:lang w:val="en-US" w:eastAsia="zh-CN" w:bidi="ar"/>
        </w:rPr>
        <w:t xml:space="preserve"> 38 </w:t>
      </w:r>
      <w:r>
        <w:rPr>
          <w:rFonts w:hint="eastAsia" w:ascii="仿宋" w:hAnsi="仿宋" w:eastAsia="仿宋" w:cs="仿宋"/>
          <w:bCs/>
          <w:kern w:val="0"/>
          <w:sz w:val="24"/>
          <w:szCs w:val="24"/>
          <w:lang w:val="en-US" w:eastAsia="zh-CN" w:bidi="ar"/>
        </w:rPr>
        <w:t>条第</w:t>
      </w:r>
      <w:r>
        <w:rPr>
          <w:rFonts w:hint="default" w:ascii="Arial" w:hAnsi="Arial" w:eastAsia="仿宋" w:cs="Arial"/>
          <w:bCs/>
          <w:kern w:val="0"/>
          <w:sz w:val="24"/>
          <w:szCs w:val="24"/>
          <w:lang w:val="en-US" w:eastAsia="zh-CN" w:bidi="ar"/>
        </w:rPr>
        <w:t xml:space="preserve"> 38.2.4 </w:t>
      </w:r>
      <w:r>
        <w:rPr>
          <w:rFonts w:hint="eastAsia" w:ascii="仿宋" w:hAnsi="仿宋" w:eastAsia="仿宋" w:cs="仿宋"/>
          <w:bCs/>
          <w:kern w:val="0"/>
          <w:sz w:val="24"/>
          <w:szCs w:val="24"/>
          <w:lang w:val="en-US" w:eastAsia="zh-CN" w:bidi="ar"/>
        </w:rPr>
        <w:t>款的规定。</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Барааг ачсан буюу буулгасан талаар Захиалагч талд цаг хугацаанд нь мэдэгдсэнээр ачилт, буулгалт хугацааг дууссанаар тооцно.</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装卸期限应在及时通知订购方货物装卸完成后视为结束。</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Энэхүү гэрээгээр хүлээсэн эрх, үүргээ гуравдагч этгээдэд шилжүүлэхгүй байх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不得将本协议条款内容的权利和义务转让给第三方。</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Тээвэрлэлт гүйцэтгэх хугацаанд Байгаль орчныг хамгаалах тухай хууль, Хог хаягдлын тухай хууль, тэдгээртэй холбоотой бусад хууль тогтоомжийн хэрэгжилтийг хангаж, байгаль орчныг бохирдуулахгүй (Ил задгай хог хаягдал хаях, бие засах, тээврийн бус замаар тээвэр гүйцэтгэж олон салаа зам үүсгэх, тэсэрч дэлбэрэх болон газны сав хаяхгүй) байхад онцгой анхаарч тус чиглэлээр орон нутгаас хэрэгжүүлж буй арга хэмжээнд идэвхитэй хамрагдах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运输过程中，要特别注意符合《环境保护法》、《废物法》和其他相关法律法规的实施，不污染环境（不露天倾倒废物、随地排便、不将货物运输到无法通行的道路造成多条道路、不投掷爆炸物或煤气罐），并积极服从该地区的地方措施。</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Гүйцэтгэгч талын жолооч нар нь хоёр хилээр нэвтрэх үедээ тухайн улсын хууль тогтоомжийг чанд мөрдөж, хилээр нэвтрүүлэхийг хориглосон, хягаарласан бараа бүтээгдэхүүнийг авч явахгүй байх.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乙方司机过境时必须严格遵守该国法律，不得携带违禁品或限制运输的物品。</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Гүйцэтгэгч тал нь захиалагчийн барааг тээвэрлэх үедээ тухай бараанаас бусад төрлийн ачааг тээврийн хэрэгсэлд ачихгүй байх.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sz w:val="24"/>
          <w:szCs w:val="24"/>
        </w:rPr>
      </w:pPr>
      <w:r>
        <w:rPr>
          <w:rFonts w:hint="eastAsia" w:ascii="仿宋" w:hAnsi="仿宋" w:eastAsia="仿宋" w:cs="仿宋"/>
          <w:bCs/>
          <w:kern w:val="0"/>
          <w:sz w:val="24"/>
          <w:szCs w:val="24"/>
          <w:lang w:val="en-US" w:eastAsia="zh-CN" w:bidi="ar"/>
        </w:rPr>
        <w:t>乙方在运输客户货物时，不得在车辆上装载任何其他货物。</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FF0000"/>
          <w:sz w:val="24"/>
          <w:szCs w:val="24"/>
        </w:rPr>
      </w:pPr>
      <w:r>
        <w:rPr>
          <w:rFonts w:hint="default" w:ascii="Arial" w:hAnsi="Arial" w:eastAsia="仿宋" w:cs="Arial"/>
          <w:bCs/>
          <w:color w:val="FF0000"/>
          <w:kern w:val="0"/>
          <w:sz w:val="24"/>
          <w:szCs w:val="24"/>
          <w:lang w:val="en-US" w:eastAsia="zh-CN" w:bidi="ar"/>
        </w:rPr>
        <w:t xml:space="preserve"> </w:t>
      </w:r>
    </w:p>
    <w:p>
      <w:pPr>
        <w:pStyle w:val="81"/>
        <w:keepNext w:val="0"/>
        <w:keepLines w:val="0"/>
        <w:widowControl/>
        <w:numPr>
          <w:ilvl w:val="1"/>
          <w:numId w:val="30"/>
        </w:numPr>
        <w:suppressLineNumbers w:val="0"/>
        <w:spacing w:before="0" w:beforeAutospacing="1" w:after="160" w:afterAutospacing="0" w:line="273" w:lineRule="auto"/>
        <w:ind w:left="720" w:right="0" w:hanging="720"/>
        <w:contextualSpacing/>
        <w:jc w:val="both"/>
        <w:rPr>
          <w:rFonts w:hint="default" w:ascii="Arial" w:hAnsi="Arial" w:eastAsia="仿宋" w:cs="Arial"/>
          <w:b/>
          <w:bCs w:val="0"/>
          <w:color w:val="000000"/>
          <w:sz w:val="24"/>
          <w:szCs w:val="24"/>
        </w:rPr>
      </w:pPr>
      <w:r>
        <w:rPr>
          <w:rFonts w:hint="default" w:ascii="Arial" w:hAnsi="Arial" w:eastAsia="仿宋" w:cs="Arial"/>
          <w:b/>
          <w:bCs w:val="0"/>
          <w:color w:val="000000"/>
          <w:kern w:val="0"/>
          <w:sz w:val="24"/>
          <w:szCs w:val="24"/>
          <w:lang w:val="en-US" w:eastAsia="zh-CN" w:bidi="ar"/>
        </w:rPr>
        <w:t>Гүйцэтгэгчийн эрх</w:t>
      </w:r>
      <w:r>
        <w:rPr>
          <w:rFonts w:hint="eastAsia" w:ascii="仿宋" w:hAnsi="仿宋" w:eastAsia="仿宋" w:cs="仿宋"/>
          <w:b/>
          <w:bCs w:val="0"/>
          <w:color w:val="000000"/>
          <w:kern w:val="0"/>
          <w:sz w:val="24"/>
          <w:szCs w:val="24"/>
          <w:lang w:val="en-US" w:eastAsia="zh-CN" w:bidi="ar"/>
        </w:rPr>
        <w:t>乙方的权利</w:t>
      </w:r>
      <w:r>
        <w:rPr>
          <w:rFonts w:hint="default" w:ascii="Arial" w:hAnsi="Arial" w:eastAsia="仿宋" w:cs="Arial"/>
          <w:b/>
          <w:bCs w:val="0"/>
          <w:color w:val="000000"/>
          <w:kern w:val="0"/>
          <w:sz w:val="24"/>
          <w:szCs w:val="24"/>
          <w:lang w:val="en-US" w:eastAsia="zh-CN" w:bidi="ar"/>
        </w:rPr>
        <w:t xml:space="preserve">: </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 xml:space="preserve">Хууль, дүрэм, журам, аюулгүй ажиллагааны шаардлагад нийцэхгүй захиалагчийн зааварчилгааг биелүүлэхээс татгалзах эрхтэй. </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000000"/>
          <w:sz w:val="24"/>
          <w:szCs w:val="24"/>
        </w:rPr>
      </w:pPr>
      <w:r>
        <w:rPr>
          <w:rFonts w:hint="eastAsia" w:ascii="仿宋" w:hAnsi="仿宋" w:eastAsia="仿宋" w:cs="仿宋"/>
          <w:kern w:val="0"/>
          <w:sz w:val="24"/>
          <w:szCs w:val="24"/>
          <w:lang w:val="en-US" w:eastAsia="zh-CN" w:bidi="ar"/>
        </w:rPr>
        <w:t>有权拒绝甲方人员的不符合法律要求的、无法保障安全的要求。</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bCs/>
          <w:color w:val="000000"/>
          <w:kern w:val="0"/>
          <w:sz w:val="24"/>
          <w:szCs w:val="24"/>
          <w:lang w:val="en-US" w:eastAsia="zh-CN" w:bidi="ar"/>
        </w:rPr>
        <w:t>Холбогдох стандарт, нормын дагуу ачилт, буулгалт хийхийг захиалагчаас шаардах эрхтэй.</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要求甲方按照相关标准、规范等进行装卸工作。</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color w:val="000000"/>
          <w:sz w:val="24"/>
          <w:szCs w:val="24"/>
        </w:rPr>
      </w:pPr>
      <w:r>
        <w:rPr>
          <w:rFonts w:hint="default" w:ascii="Arial" w:hAnsi="Arial" w:eastAsia="仿宋" w:cs="Arial"/>
          <w:kern w:val="0"/>
          <w:sz w:val="24"/>
          <w:szCs w:val="24"/>
          <w:lang w:val="en-US" w:eastAsia="zh-CN" w:bidi="ar"/>
        </w:rPr>
        <w:t>Захиалагчаас сар бүрийн тээвэрлэлтийн хөлсөө нэхэмжлэх эрхтэй.</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bCs/>
          <w:color w:val="000000"/>
          <w:sz w:val="24"/>
          <w:szCs w:val="24"/>
        </w:rPr>
      </w:pPr>
      <w:r>
        <w:rPr>
          <w:rFonts w:hint="eastAsia" w:ascii="仿宋" w:hAnsi="仿宋" w:eastAsia="仿宋" w:cs="仿宋"/>
          <w:kern w:val="0"/>
          <w:sz w:val="24"/>
          <w:szCs w:val="24"/>
          <w:lang w:val="en-US" w:eastAsia="zh-CN" w:bidi="ar"/>
        </w:rPr>
        <w:t>乙方有权向甲方就已发生的月度运费进行结算。</w:t>
      </w:r>
    </w:p>
    <w:p>
      <w:pPr>
        <w:pStyle w:val="81"/>
        <w:keepNext w:val="0"/>
        <w:keepLines w:val="0"/>
        <w:widowControl/>
        <w:numPr>
          <w:ilvl w:val="2"/>
          <w:numId w:val="30"/>
        </w:numPr>
        <w:suppressLineNumbers w:val="0"/>
        <w:spacing w:before="0" w:beforeAutospacing="1" w:after="160" w:afterAutospacing="0" w:line="273" w:lineRule="auto"/>
        <w:ind w:left="1429" w:right="0" w:hanging="720"/>
        <w:contextualSpacing/>
        <w:jc w:val="both"/>
        <w:rPr>
          <w:rFonts w:hint="default" w:ascii="Arial" w:hAnsi="Arial" w:eastAsia="仿宋" w:cs="Arial"/>
          <w:bCs/>
          <w:sz w:val="24"/>
          <w:szCs w:val="24"/>
        </w:rPr>
      </w:pPr>
      <w:r>
        <w:rPr>
          <w:rFonts w:hint="default" w:ascii="Arial" w:hAnsi="Arial" w:eastAsia="仿宋" w:cs="Arial"/>
          <w:bCs/>
          <w:kern w:val="0"/>
          <w:sz w:val="24"/>
          <w:szCs w:val="24"/>
          <w:lang w:val="en-US" w:eastAsia="zh-CN" w:bidi="ar"/>
        </w:rPr>
        <w:t>Бусад эрх</w:t>
      </w:r>
    </w:p>
    <w:p>
      <w:pPr>
        <w:pStyle w:val="81"/>
        <w:keepNext w:val="0"/>
        <w:keepLines w:val="0"/>
        <w:widowControl/>
        <w:suppressLineNumbers w:val="0"/>
        <w:spacing w:before="0" w:beforeAutospacing="1" w:after="16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其他权利</w:t>
      </w:r>
    </w:p>
    <w:p>
      <w:pPr>
        <w:pStyle w:val="81"/>
        <w:keepNext w:val="0"/>
        <w:keepLines w:val="0"/>
        <w:widowControl/>
        <w:numPr>
          <w:ilvl w:val="1"/>
          <w:numId w:val="30"/>
        </w:numPr>
        <w:suppressLineNumbers w:val="0"/>
        <w:spacing w:before="0" w:beforeAutospacing="1" w:after="160" w:afterAutospacing="0" w:line="273" w:lineRule="auto"/>
        <w:ind w:left="720" w:right="0" w:hanging="720"/>
        <w:contextualSpacing/>
        <w:jc w:val="both"/>
        <w:rPr>
          <w:rFonts w:hint="default" w:ascii="Arial" w:hAnsi="Arial" w:eastAsia="仿宋" w:cs="Arial"/>
          <w:bCs/>
          <w:color w:val="000000"/>
          <w:sz w:val="24"/>
          <w:szCs w:val="24"/>
        </w:rPr>
      </w:pPr>
      <w:r>
        <w:rPr>
          <w:rFonts w:hint="default" w:ascii="Arial" w:hAnsi="Arial" w:eastAsia="仿宋" w:cs="Arial"/>
          <w:b/>
          <w:bCs w:val="0"/>
          <w:kern w:val="0"/>
          <w:sz w:val="24"/>
          <w:szCs w:val="24"/>
          <w:lang w:val="en-US" w:eastAsia="zh-CN" w:bidi="ar"/>
        </w:rPr>
        <w:t>Захиалагчийн үүрэг</w:t>
      </w:r>
      <w:r>
        <w:rPr>
          <w:rFonts w:hint="eastAsia" w:ascii="仿宋" w:hAnsi="仿宋" w:eastAsia="仿宋" w:cs="仿宋"/>
          <w:b/>
          <w:bCs w:val="0"/>
          <w:kern w:val="0"/>
          <w:sz w:val="24"/>
          <w:szCs w:val="24"/>
          <w:lang w:val="en-US" w:eastAsia="zh-CN" w:bidi="ar"/>
        </w:rPr>
        <w:t>甲方的义务：</w:t>
      </w:r>
      <w:r>
        <w:rPr>
          <w:rFonts w:hint="default" w:ascii="Arial" w:hAnsi="Arial" w:eastAsia="仿宋" w:cs="Arial"/>
          <w:b/>
          <w:bCs w:val="0"/>
          <w:kern w:val="0"/>
          <w:sz w:val="24"/>
          <w:szCs w:val="24"/>
          <w:lang w:val="en-US" w:eastAsia="zh-CN" w:bidi="ar"/>
        </w:rPr>
        <w:t xml:space="preserve"> </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Бараа ачих, тээвэрлэх захиалгыг нэг өдрийн өмнө нь гүйцэтгэгч талд мэдэгдэнэ.</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甲方应在每批矿粉装运前</w:t>
      </w:r>
      <w:r>
        <w:rPr>
          <w:rFonts w:hint="default" w:ascii="Arial" w:hAnsi="Arial" w:eastAsia="仿宋" w:cs="Arial"/>
          <w:kern w:val="0"/>
          <w:sz w:val="24"/>
          <w:szCs w:val="24"/>
          <w:u w:val="single"/>
          <w:lang w:val="en-US" w:eastAsia="zh-CN" w:bidi="ar"/>
        </w:rPr>
        <w:t>1</w:t>
      </w:r>
      <w:r>
        <w:rPr>
          <w:rFonts w:hint="eastAsia" w:ascii="仿宋" w:hAnsi="仿宋" w:eastAsia="仿宋" w:cs="仿宋"/>
          <w:kern w:val="0"/>
          <w:sz w:val="24"/>
          <w:szCs w:val="24"/>
          <w:lang w:val="en-US" w:eastAsia="zh-CN" w:bidi="ar"/>
        </w:rPr>
        <w:t>日通知乙方。</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Тээвэрлэлтийн хэрэгцээ шаардлагатай нийцүүлэн гүйцэтгэгчээс захиалах тээврийн хэрэгсэлийн тоог Захиалагч тал шийдвэрлэнэ.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结合运输需求，要求运输公司提供同等数量的运输工具。</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Ачилт буулгалтын ажлыг цаг тухайд нь гүйцэтгэнэ. Тухайн үеийн нөхцөл байдлаас шалтгаалан тодорхой хугацаагаар хойшлуулж болно.</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应及时完成装卸工作，如遇需要延迟的情况应明确具体时间长度。</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Ачилтыг холбогдох дүрэм, журам, стандартын дагуу гүйцэтгэнэ.</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甲方应按照规定的标准、制度、规定进行装车。</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 Тээвэрлэлтийн хөлсийг гэрээгээр тохирсон хугацаанд төлнө.</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按照合同规定时间支付运输费用。</w:t>
      </w:r>
    </w:p>
    <w:p>
      <w:pPr>
        <w:pStyle w:val="81"/>
        <w:keepNext w:val="0"/>
        <w:keepLines w:val="0"/>
        <w:widowControl/>
        <w:numPr>
          <w:ilvl w:val="1"/>
          <w:numId w:val="30"/>
        </w:numPr>
        <w:suppressLineNumbers w:val="0"/>
        <w:spacing w:before="0" w:beforeAutospacing="1" w:after="0" w:afterAutospacing="0" w:line="273" w:lineRule="auto"/>
        <w:ind w:left="720" w:right="0" w:hanging="720"/>
        <w:contextualSpacing/>
        <w:jc w:val="both"/>
        <w:rPr>
          <w:rFonts w:hint="default" w:ascii="Arial" w:hAnsi="Arial" w:eastAsia="仿宋" w:cs="Arial"/>
          <w:b/>
          <w:bCs/>
          <w:sz w:val="24"/>
          <w:szCs w:val="24"/>
        </w:rPr>
      </w:pPr>
      <w:r>
        <w:rPr>
          <w:rFonts w:hint="default" w:ascii="Arial" w:hAnsi="Arial" w:eastAsia="仿宋" w:cs="Arial"/>
          <w:b/>
          <w:bCs/>
          <w:kern w:val="0"/>
          <w:sz w:val="24"/>
          <w:szCs w:val="24"/>
          <w:lang w:val="en-US" w:eastAsia="zh-CN" w:bidi="ar"/>
        </w:rPr>
        <w:t>Захиалагчийн эрх</w:t>
      </w:r>
      <w:r>
        <w:rPr>
          <w:rFonts w:hint="eastAsia" w:ascii="仿宋" w:hAnsi="仿宋" w:eastAsia="仿宋" w:cs="仿宋"/>
          <w:b/>
          <w:bCs/>
          <w:kern w:val="0"/>
          <w:sz w:val="24"/>
          <w:szCs w:val="24"/>
          <w:lang w:val="en-US" w:eastAsia="zh-CN" w:bidi="ar"/>
        </w:rPr>
        <w:t>甲方权利</w:t>
      </w:r>
      <w:r>
        <w:rPr>
          <w:rFonts w:hint="default" w:ascii="Arial" w:hAnsi="Arial" w:eastAsia="仿宋" w:cs="Arial"/>
          <w:b/>
          <w:bCs/>
          <w:kern w:val="0"/>
          <w:sz w:val="24"/>
          <w:szCs w:val="24"/>
          <w:lang w:val="en-US" w:eastAsia="zh-CN" w:bidi="ar"/>
        </w:rPr>
        <w:t>:</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color w:val="000000"/>
          <w:kern w:val="0"/>
          <w:sz w:val="24"/>
          <w:szCs w:val="24"/>
          <w:lang w:val="en-US" w:eastAsia="zh-CN" w:bidi="ar"/>
        </w:rPr>
        <w:t xml:space="preserve">Гэрээний үүргээ зохих ёсоор биелүүлэхийг </w:t>
      </w:r>
      <w:r>
        <w:rPr>
          <w:rFonts w:hint="default" w:ascii="Arial" w:hAnsi="Arial" w:eastAsia="仿宋" w:cs="Arial"/>
          <w:kern w:val="0"/>
          <w:sz w:val="24"/>
          <w:szCs w:val="24"/>
          <w:lang w:val="en-US" w:eastAsia="zh-CN" w:bidi="ar"/>
        </w:rPr>
        <w:t>гүйцэтгэгчээс шаардах эрхтэй.</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甲方有权要求乙方按照相关要求完成工作。</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Тээвэрлэлтэд шаардлагатай бичиг баримтуудтай танилцах, мэдээлэл авах эрхтэй.</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有权查阅和获取运输所需文件的信息。</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Энэ гэрээ болон холбогдох хууль тогтоомж, дүрэм журам, стандартын шаардлага хангаагүй жолооч, тээврийн хэрэгслээр (тээвэрлэлтийн шаардлага хангаагүй зориулалтын бус) тээвэрлэлт хийлгэхээс татгазлзах эрхтэй.</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不符合本协议及适用法律、法规、标准规定的驾驶员及车辆，用于运输指定用途以外的目的，有权要求禁止运输。</w:t>
      </w:r>
    </w:p>
    <w:p>
      <w:pPr>
        <w:pStyle w:val="81"/>
        <w:keepNext w:val="0"/>
        <w:keepLines w:val="0"/>
        <w:widowControl/>
        <w:numPr>
          <w:ilvl w:val="2"/>
          <w:numId w:val="30"/>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Бусад эрх.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其他权利</w:t>
      </w:r>
    </w:p>
    <w:p>
      <w:pPr>
        <w:pStyle w:val="81"/>
        <w:keepNext w:val="0"/>
        <w:keepLines w:val="0"/>
        <w:widowControl/>
        <w:suppressLineNumbers w:val="0"/>
        <w:spacing w:before="0" w:beforeAutospacing="1" w:after="0" w:afterAutospacing="0" w:line="273" w:lineRule="auto"/>
        <w:ind w:left="1429" w:right="0"/>
        <w:contextualSpacing/>
        <w:jc w:val="center"/>
        <w:rPr>
          <w:rFonts w:hint="default" w:ascii="Arial" w:hAnsi="Arial" w:eastAsia="仿宋" w:cs="Arial"/>
          <w:b/>
          <w:bCs w:val="0"/>
          <w:sz w:val="24"/>
          <w:szCs w:val="24"/>
        </w:rPr>
      </w:pPr>
      <w:r>
        <w:rPr>
          <w:rFonts w:hint="default" w:ascii="Arial" w:hAnsi="Arial" w:eastAsia="仿宋" w:cs="Arial"/>
          <w:b/>
          <w:bCs w:val="0"/>
          <w:kern w:val="0"/>
          <w:sz w:val="24"/>
          <w:szCs w:val="24"/>
          <w:lang w:val="en-US" w:eastAsia="zh-CN" w:bidi="ar"/>
        </w:rPr>
        <w:t>Тав. Талуудын хариуцлага</w:t>
      </w:r>
    </w:p>
    <w:p>
      <w:pPr>
        <w:pStyle w:val="81"/>
        <w:keepNext w:val="0"/>
        <w:keepLines w:val="0"/>
        <w:widowControl/>
        <w:suppressLineNumbers w:val="0"/>
        <w:spacing w:before="0" w:beforeAutospacing="1" w:after="0" w:afterAutospacing="0" w:line="273" w:lineRule="auto"/>
        <w:ind w:left="1429" w:right="0"/>
        <w:contextualSpacing/>
        <w:jc w:val="center"/>
        <w:rPr>
          <w:rFonts w:hint="default" w:ascii="Arial" w:hAnsi="Arial" w:eastAsia="仿宋" w:cs="Arial"/>
          <w:b/>
          <w:bCs/>
          <w:sz w:val="24"/>
          <w:szCs w:val="24"/>
        </w:rPr>
      </w:pPr>
      <w:r>
        <w:rPr>
          <w:rFonts w:hint="eastAsia" w:ascii="仿宋" w:hAnsi="仿宋" w:eastAsia="仿宋" w:cs="仿宋"/>
          <w:b/>
          <w:bCs/>
          <w:kern w:val="0"/>
          <w:sz w:val="24"/>
          <w:szCs w:val="24"/>
          <w:lang w:val="en-US" w:eastAsia="zh-CN" w:bidi="ar"/>
        </w:rPr>
        <w:t>五、双方的责任</w:t>
      </w:r>
    </w:p>
    <w:p>
      <w:pPr>
        <w:pStyle w:val="81"/>
        <w:keepNext w:val="0"/>
        <w:keepLines w:val="0"/>
        <w:widowControl/>
        <w:suppressLineNumbers w:val="0"/>
        <w:spacing w:before="0" w:beforeAutospacing="1" w:after="0" w:afterAutospacing="0" w:line="273" w:lineRule="auto"/>
        <w:ind w:left="1429" w:right="0"/>
        <w:contextualSpacing/>
        <w:jc w:val="center"/>
        <w:rPr>
          <w:rFonts w:hint="default" w:ascii="Arial" w:hAnsi="Arial" w:eastAsia="仿宋" w:cs="Arial"/>
          <w:b/>
          <w:bCs/>
          <w:sz w:val="24"/>
          <w:szCs w:val="24"/>
        </w:rPr>
      </w:pPr>
      <w:r>
        <w:rPr>
          <w:rFonts w:hint="default" w:ascii="Arial" w:hAnsi="Arial" w:eastAsia="仿宋" w:cs="Arial"/>
          <w:b/>
          <w:bCs/>
          <w:kern w:val="0"/>
          <w:sz w:val="24"/>
          <w:szCs w:val="24"/>
          <w:lang w:val="en-US" w:eastAsia="zh-CN" w:bidi="ar"/>
        </w:rPr>
        <w:t xml:space="preserve"> </w:t>
      </w:r>
    </w:p>
    <w:p>
      <w:pPr>
        <w:pStyle w:val="81"/>
        <w:keepNext w:val="0"/>
        <w:keepLines w:val="0"/>
        <w:widowControl/>
        <w:numPr>
          <w:ilvl w:val="1"/>
          <w:numId w:val="31"/>
        </w:numPr>
        <w:suppressLineNumbers w:val="0"/>
        <w:spacing w:before="0" w:beforeAutospacing="1" w:after="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仿宋" w:cs="Arial"/>
          <w:b/>
          <w:bCs w:val="0"/>
          <w:kern w:val="0"/>
          <w:sz w:val="24"/>
          <w:szCs w:val="24"/>
          <w:lang w:val="en-US" w:eastAsia="zh-CN" w:bidi="ar"/>
        </w:rPr>
        <w:t>Гүйцэтгэгчийн хариуцлага</w:t>
      </w:r>
      <w:r>
        <w:rPr>
          <w:rFonts w:hint="eastAsia" w:ascii="仿宋" w:hAnsi="仿宋" w:eastAsia="仿宋" w:cs="仿宋"/>
          <w:b/>
          <w:bCs w:val="0"/>
          <w:color w:val="000000"/>
          <w:kern w:val="0"/>
          <w:sz w:val="24"/>
          <w:szCs w:val="24"/>
          <w:lang w:val="en-US" w:eastAsia="zh-CN" w:bidi="ar"/>
        </w:rPr>
        <w:t>乙方责任</w:t>
      </w:r>
      <w:r>
        <w:rPr>
          <w:rFonts w:hint="eastAsia" w:ascii="仿宋" w:hAnsi="仿宋" w:eastAsia="仿宋" w:cs="仿宋"/>
          <w:b/>
          <w:bCs w:val="0"/>
          <w:kern w:val="0"/>
          <w:sz w:val="24"/>
          <w:szCs w:val="24"/>
          <w:lang w:val="en-US" w:eastAsia="zh-CN" w:bidi="ar"/>
        </w:rPr>
        <w:t>：</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Гүйцэтгэгч нь тээврийн хэрэгслийн жолоочийн буруугаас үүдсэн аливаа хариуцлагыг захиалагч болон гуравдагч этгээдийн өмнө бүрэн хариуцна.</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乙方将代表甲方及第三方，全额承担由于司机过错导致的所有责任。</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 xml:space="preserve">Гүйцэтгэгч нь жолооч нарын хөдөлмөрийн аюулгүй байдал, тээврийн хэрэгслийн хөдөлгөөний аюулгүй байдлыг бүрэн хариуцах бөгөөд  жолоочийн буруугаас үүдсэн аливаа осол аваарийн улмаас өөрт нь болон бусдад учирсан хохирлыг бүрэн хариуцна.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乙方应负责司机的劳动安全情况，保障运输设备安全状况，且全额负责司机过错给乙方及其它方面带来的损失。</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Гүйцэтгэгч нь сард гурван удаа захиалагчийн захиалгыг биелүүлээгүй тохиолдолд гүйцэтгэгч нь тус сарын тээврийн хөлсний 5%-ийн торгуулийг захиалагчид төлнө.</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乙方月度内出现三次不能完成甲方要求的，按乙方本月运费的</w:t>
      </w:r>
      <w:r>
        <w:rPr>
          <w:rFonts w:hint="eastAsia" w:ascii="Arial" w:hAnsi="Arial" w:eastAsia="仿宋" w:cs="Arial"/>
          <w:kern w:val="0"/>
          <w:sz w:val="24"/>
          <w:szCs w:val="24"/>
          <w:lang w:val="en-US" w:eastAsia="zh-CN" w:bidi="ar"/>
        </w:rPr>
        <w:t xml:space="preserve"> </w:t>
      </w:r>
      <w:r>
        <w:rPr>
          <w:rFonts w:hint="default" w:ascii="Arial" w:hAnsi="Arial" w:eastAsia="仿宋" w:cs="Arial"/>
          <w:kern w:val="0"/>
          <w:sz w:val="24"/>
          <w:szCs w:val="24"/>
          <w:lang w:val="en-US" w:eastAsia="zh-CN" w:bidi="ar"/>
        </w:rPr>
        <w:t>5 %</w:t>
      </w:r>
      <w:r>
        <w:rPr>
          <w:rFonts w:hint="eastAsia" w:ascii="仿宋" w:hAnsi="仿宋" w:eastAsia="仿宋" w:cs="仿宋"/>
          <w:kern w:val="0"/>
          <w:sz w:val="24"/>
          <w:szCs w:val="24"/>
          <w:lang w:val="en-US" w:eastAsia="zh-CN" w:bidi="ar"/>
        </w:rPr>
        <w:t>赔偿甲方。</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 xml:space="preserve">Гүйцэтгэгчийн буруугаас ачаа алга болсон, дутсан, төрийн байгууллагад хураалгасан тохиолдолд гүйцэтгэгч нь захиалагчид барааны бодит хохирлыг (бараа бүтээгдэхүүний үнэ, баглаа боодлын төлбөр, бусад зардал гэх мэт) нөхөн төлнө.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b/>
          <w:bCs w:val="0"/>
          <w:sz w:val="24"/>
          <w:szCs w:val="24"/>
        </w:rPr>
      </w:pPr>
      <w:r>
        <w:rPr>
          <w:rFonts w:hint="eastAsia" w:ascii="仿宋" w:hAnsi="仿宋" w:eastAsia="仿宋" w:cs="仿宋"/>
          <w:kern w:val="0"/>
          <w:sz w:val="24"/>
          <w:szCs w:val="24"/>
          <w:lang w:val="en-US" w:eastAsia="zh-CN" w:bidi="ar"/>
        </w:rPr>
        <w:t>因乙方原因，导致货物失踪、被罚没等情况，</w:t>
      </w:r>
      <w:r>
        <w:rPr>
          <w:rFonts w:hint="eastAsia" w:ascii="仿宋" w:hAnsi="仿宋" w:eastAsia="仿宋" w:cs="仿宋"/>
          <w:color w:val="000000"/>
          <w:kern w:val="0"/>
          <w:sz w:val="24"/>
          <w:szCs w:val="24"/>
          <w:lang w:val="en-US" w:eastAsia="zh-CN" w:bidi="ar"/>
        </w:rPr>
        <w:t>乙方应按货物的实际损失（包括货物价值、包装费及其他费用）赔偿甲方。</w:t>
      </w:r>
    </w:p>
    <w:p>
      <w:pPr>
        <w:pStyle w:val="81"/>
        <w:keepNext w:val="0"/>
        <w:keepLines w:val="0"/>
        <w:widowControl/>
        <w:numPr>
          <w:ilvl w:val="2"/>
          <w:numId w:val="31"/>
        </w:numPr>
        <w:suppressLineNumbers w:val="0"/>
        <w:spacing w:before="240" w:beforeAutospacing="0"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color w:val="000000"/>
          <w:kern w:val="0"/>
          <w:sz w:val="24"/>
          <w:szCs w:val="24"/>
          <w:lang w:val="en-US" w:eastAsia="zh-CN" w:bidi="ar"/>
        </w:rPr>
        <w:t>Гүйцэтгэгч тал тээврийн хэрэгслийн бүрэн бүтэн байдлыг хангаагүйн улмаас Архашаатын боомтын бүсэд гарсан нэмэлт зардлыг захиалагч тал хариуцахгүй.</w:t>
      </w:r>
      <w:r>
        <w:rPr>
          <w:rFonts w:hint="default" w:ascii="Arial" w:hAnsi="Arial" w:eastAsia="仿宋" w:cs="Arial"/>
          <w:kern w:val="0"/>
          <w:sz w:val="24"/>
          <w:szCs w:val="24"/>
          <w:lang w:val="en-US" w:eastAsia="zh-CN" w:bidi="ar"/>
        </w:rPr>
        <w:t xml:space="preserve">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乙方未能保证运输设备状况导致的阿日哈沙特区域内发生的附加费用甲方不予承担。</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Тээврийн замын маршрутыг зөрчсөнөөс үүссэн хохирол болон холбогдох хариуцлагыг гүйцэтгэгч тал хариуцна.</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由于乙方车辆未按照规定路线行驶导致的损失及相关责任甲方不予承担。</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Жолооч, тээвэрлэгч нар нь барааг тээвэрлэх, ачилт, буулгалт хийх үед болон Монгол Улсын хилийн гадна тухайн орны хуулийг зөрчихгүй байж, архидан согтуурах, танхайрах, гэмт хэрэгт холбогдохгүй байх асуудлыг гүйцэтгэгч тал бүрэн хариуцна.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乙方应全面负责确保驾驶员和承运人在运输、装卸货物过程中以及在蒙古国境外不违反国家法律，不参与酗酒、暴力和犯罪活动。</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color w:val="FF0000"/>
          <w:sz w:val="24"/>
          <w:szCs w:val="24"/>
        </w:rPr>
      </w:pPr>
      <w:r>
        <w:rPr>
          <w:rFonts w:hint="default" w:ascii="Arial" w:hAnsi="Arial" w:eastAsia="仿宋" w:cs="Arial"/>
          <w:color w:val="FF0000"/>
          <w:kern w:val="0"/>
          <w:sz w:val="24"/>
          <w:szCs w:val="24"/>
          <w:lang w:val="en-US" w:eastAsia="zh-CN" w:bidi="ar"/>
        </w:rPr>
        <w:t xml:space="preserve"> </w:t>
      </w:r>
    </w:p>
    <w:p>
      <w:pPr>
        <w:pStyle w:val="81"/>
        <w:keepNext w:val="0"/>
        <w:keepLines w:val="0"/>
        <w:widowControl/>
        <w:numPr>
          <w:ilvl w:val="1"/>
          <w:numId w:val="31"/>
        </w:numPr>
        <w:suppressLineNumbers w:val="0"/>
        <w:spacing w:before="0" w:beforeAutospacing="1" w:after="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仿宋" w:cs="Arial"/>
          <w:b/>
          <w:bCs/>
          <w:kern w:val="0"/>
          <w:sz w:val="24"/>
          <w:szCs w:val="24"/>
          <w:lang w:val="en-US" w:eastAsia="zh-CN" w:bidi="ar"/>
        </w:rPr>
        <w:t>Захиалагч</w:t>
      </w:r>
      <w:r>
        <w:rPr>
          <w:rFonts w:hint="default" w:ascii="Arial" w:hAnsi="Arial" w:eastAsia="仿宋" w:cs="Arial"/>
          <w:b/>
          <w:bCs w:val="0"/>
          <w:kern w:val="0"/>
          <w:sz w:val="24"/>
          <w:szCs w:val="24"/>
          <w:lang w:val="en-US" w:eastAsia="zh-CN" w:bidi="ar"/>
        </w:rPr>
        <w:t>ийн хариуцлага</w:t>
      </w:r>
      <w:r>
        <w:rPr>
          <w:rFonts w:hint="eastAsia" w:ascii="仿宋" w:hAnsi="仿宋" w:eastAsia="仿宋" w:cs="仿宋"/>
          <w:b/>
          <w:bCs w:val="0"/>
          <w:kern w:val="0"/>
          <w:sz w:val="24"/>
          <w:szCs w:val="24"/>
          <w:lang w:val="en-US" w:eastAsia="zh-CN" w:bidi="ar"/>
        </w:rPr>
        <w:t>甲方责任：</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 xml:space="preserve">Хэрэв захиалагч нь хүндэтгэн үзэх шалтгаангүйгээр ачилт хийгээгүйн улмаас гүйцэтгэгчийн тээврийн хэрэгсэл Улааны уурхайн ачааны талбайд 48 цагаас дээш хугацаанд сул зогссон тохиолдолд тус удаагийн тээврийн хөлсний </w:t>
      </w:r>
      <w:r>
        <w:rPr>
          <w:rFonts w:hint="default" w:ascii="Arial" w:hAnsi="Arial" w:eastAsia="仿宋" w:cs="Arial"/>
          <w:color w:val="000000"/>
          <w:kern w:val="0"/>
          <w:sz w:val="24"/>
          <w:szCs w:val="24"/>
          <w:u w:val="single"/>
          <w:lang w:val="en-US" w:eastAsia="zh-CN" w:bidi="ar"/>
        </w:rPr>
        <w:t>5</w:t>
      </w:r>
      <w:r>
        <w:rPr>
          <w:rFonts w:hint="default" w:ascii="Arial" w:hAnsi="Arial" w:eastAsia="仿宋" w:cs="Arial"/>
          <w:color w:val="000000"/>
          <w:kern w:val="0"/>
          <w:sz w:val="24"/>
          <w:szCs w:val="24"/>
          <w:lang w:val="en-US" w:eastAsia="zh-CN" w:bidi="ar"/>
        </w:rPr>
        <w:t xml:space="preserve">% </w:t>
      </w:r>
      <w:r>
        <w:rPr>
          <w:rFonts w:hint="default" w:ascii="Arial" w:hAnsi="Arial" w:eastAsia="仿宋" w:cs="Arial"/>
          <w:kern w:val="0"/>
          <w:sz w:val="24"/>
          <w:szCs w:val="24"/>
          <w:lang w:val="en-US" w:eastAsia="zh-CN" w:bidi="ar"/>
        </w:rPr>
        <w:t xml:space="preserve">торгууль </w:t>
      </w:r>
      <w:r>
        <w:rPr>
          <w:rFonts w:hint="default" w:ascii="Arial" w:hAnsi="Arial" w:eastAsia="仿宋" w:cs="Arial"/>
          <w:color w:val="000000"/>
          <w:kern w:val="0"/>
          <w:sz w:val="24"/>
          <w:szCs w:val="24"/>
          <w:lang w:val="en-US" w:eastAsia="zh-CN" w:bidi="ar"/>
        </w:rPr>
        <w:t>төлнө (Байгалийн гамшиг хамаарахгүй)</w:t>
      </w:r>
      <w:r>
        <w:rPr>
          <w:rFonts w:hint="default" w:ascii="Arial" w:hAnsi="Arial" w:eastAsia="仿宋" w:cs="Arial"/>
          <w:kern w:val="0"/>
          <w:sz w:val="24"/>
          <w:szCs w:val="24"/>
          <w:lang w:val="en-US" w:eastAsia="zh-CN" w:bidi="ar"/>
        </w:rPr>
        <w:t>.</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b/>
          <w:bCs w:val="0"/>
          <w:sz w:val="24"/>
          <w:szCs w:val="24"/>
        </w:rPr>
      </w:pPr>
      <w:r>
        <w:rPr>
          <w:rFonts w:hint="eastAsia" w:ascii="仿宋" w:hAnsi="仿宋" w:eastAsia="仿宋" w:cs="仿宋"/>
          <w:color w:val="000000"/>
          <w:kern w:val="0"/>
          <w:sz w:val="24"/>
          <w:szCs w:val="24"/>
          <w:lang w:val="en-US" w:eastAsia="zh-CN" w:bidi="ar"/>
        </w:rPr>
        <w:t>由于甲方原因导致未能按计划装车，不包括自然灾害，导致乙方空车在乌兰矿货场待命超过</w:t>
      </w:r>
      <w:r>
        <w:rPr>
          <w:rFonts w:hint="default" w:ascii="Arial" w:hAnsi="Arial" w:eastAsia="仿宋" w:cs="Arial"/>
          <w:color w:val="000000"/>
          <w:kern w:val="0"/>
          <w:sz w:val="24"/>
          <w:szCs w:val="24"/>
          <w:lang w:val="en-US" w:eastAsia="zh-CN" w:bidi="ar"/>
        </w:rPr>
        <w:t>48</w:t>
      </w:r>
      <w:r>
        <w:rPr>
          <w:rFonts w:hint="eastAsia" w:ascii="仿宋" w:hAnsi="仿宋" w:eastAsia="仿宋" w:cs="仿宋"/>
          <w:color w:val="000000"/>
          <w:kern w:val="0"/>
          <w:sz w:val="24"/>
          <w:szCs w:val="24"/>
          <w:lang w:val="en-US" w:eastAsia="zh-CN" w:bidi="ar"/>
        </w:rPr>
        <w:t>小时的，甲方赔偿乙方该运输批次货量运费的</w:t>
      </w:r>
      <w:r>
        <w:rPr>
          <w:rFonts w:hint="default" w:ascii="Arial" w:hAnsi="Arial" w:eastAsia="仿宋" w:cs="Arial"/>
          <w:color w:val="000000"/>
          <w:kern w:val="0"/>
          <w:sz w:val="24"/>
          <w:szCs w:val="24"/>
          <w:u w:val="single"/>
          <w:lang w:val="en-US" w:eastAsia="zh-CN" w:bidi="ar"/>
        </w:rPr>
        <w:t>5</w:t>
      </w:r>
      <w:r>
        <w:rPr>
          <w:rFonts w:hint="default" w:ascii="Arial" w:hAnsi="Arial" w:eastAsia="仿宋" w:cs="Arial"/>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p>
    <w:p>
      <w:pPr>
        <w:pStyle w:val="81"/>
        <w:keepNext w:val="0"/>
        <w:keepLines w:val="0"/>
        <w:widowControl/>
        <w:numPr>
          <w:ilvl w:val="2"/>
          <w:numId w:val="31"/>
        </w:numPr>
        <w:suppressLineNumbers w:val="0"/>
        <w:spacing w:before="0" w:beforeAutospacing="1" w:after="0" w:afterAutospacing="0" w:line="273" w:lineRule="auto"/>
        <w:ind w:left="1429" w:right="0" w:hanging="720"/>
        <w:contextualSpacing/>
        <w:jc w:val="both"/>
        <w:rPr>
          <w:rFonts w:hint="default" w:ascii="Arial" w:hAnsi="Arial" w:eastAsia="仿宋" w:cs="Arial"/>
          <w:b/>
          <w:bCs w:val="0"/>
          <w:sz w:val="24"/>
          <w:szCs w:val="24"/>
        </w:rPr>
      </w:pPr>
      <w:r>
        <w:rPr>
          <w:rFonts w:hint="default" w:ascii="Arial" w:hAnsi="Arial" w:eastAsia="仿宋" w:cs="Arial"/>
          <w:kern w:val="0"/>
          <w:sz w:val="24"/>
          <w:szCs w:val="24"/>
          <w:lang w:val="en-US" w:eastAsia="zh-CN" w:bidi="ar"/>
        </w:rPr>
        <w:t>Захиалагч нь бараа бүтээгдэхүүний баглаа боодлын улмаас гарсан хохирлыг өөрөө бүрэн хариуцна.</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b/>
          <w:bCs w:val="0"/>
          <w:sz w:val="24"/>
          <w:szCs w:val="24"/>
        </w:rPr>
      </w:pPr>
      <w:r>
        <w:rPr>
          <w:rFonts w:hint="eastAsia" w:ascii="仿宋" w:hAnsi="仿宋" w:eastAsia="仿宋" w:cs="仿宋"/>
          <w:kern w:val="0"/>
          <w:sz w:val="24"/>
          <w:szCs w:val="24"/>
          <w:lang w:val="en-US" w:eastAsia="zh-CN" w:bidi="ar"/>
        </w:rPr>
        <w:t>由于货物本身的包装缺陷产生的损耗，甲方将自行承担损失。</w:t>
      </w:r>
    </w:p>
    <w:p>
      <w:pPr>
        <w:pStyle w:val="81"/>
        <w:keepNext w:val="0"/>
        <w:keepLines w:val="0"/>
        <w:widowControl/>
        <w:numPr>
          <w:ilvl w:val="1"/>
          <w:numId w:val="31"/>
        </w:numPr>
        <w:suppressLineNumbers w:val="0"/>
        <w:spacing w:before="0" w:beforeAutospacing="1" w:after="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Талууд “Хөдөлмөрийн аюулгүй байдал, эрүүл ахуй, байгаль орчныг хамгаалах хариуцлагын гэрээ” байгуулж, ачих, буулгах, тээвэрлэх явцад гүйцэтгэгч тал тус гэрээний шаардлагыг чанд мөрдөнө.</w:t>
      </w:r>
    </w:p>
    <w:p>
      <w:pPr>
        <w:pStyle w:val="81"/>
        <w:keepNext w:val="0"/>
        <w:keepLines w:val="0"/>
        <w:widowControl/>
        <w:suppressLineNumbers w:val="0"/>
        <w:spacing w:before="0" w:beforeAutospacing="1" w:after="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双方应签订安全、环境保护管理协议，在装卸及运输过程中，乙方必须严格按协议要求内容执行。</w:t>
      </w:r>
    </w:p>
    <w:p>
      <w:pPr>
        <w:pStyle w:val="81"/>
        <w:keepNext w:val="0"/>
        <w:keepLines w:val="0"/>
        <w:widowControl/>
        <w:numPr>
          <w:ilvl w:val="1"/>
          <w:numId w:val="31"/>
        </w:numPr>
        <w:suppressLineNumbers w:val="0"/>
        <w:spacing w:before="240" w:beforeAutospacing="0" w:after="0" w:afterAutospacing="0" w:line="273" w:lineRule="auto"/>
        <w:ind w:left="720" w:right="0" w:hanging="720"/>
        <w:contextualSpacing/>
        <w:jc w:val="both"/>
        <w:rPr>
          <w:rFonts w:hint="default" w:ascii="Arial" w:hAnsi="Arial" w:eastAsia="仿宋" w:cs="Arial"/>
          <w:b/>
          <w:bCs w:val="0"/>
          <w:sz w:val="24"/>
          <w:szCs w:val="24"/>
        </w:rPr>
      </w:pPr>
      <w:r>
        <w:rPr>
          <w:rFonts w:hint="default" w:ascii="Arial" w:hAnsi="Arial" w:eastAsia="仿宋" w:cs="Arial"/>
          <w:color w:val="000000"/>
          <w:kern w:val="32"/>
          <w:sz w:val="24"/>
          <w:szCs w:val="24"/>
          <w:lang w:val="en-US" w:eastAsia="zh-CN" w:bidi="ar"/>
        </w:rPr>
        <w:t xml:space="preserve">Аль нэг тал гэрээний үүргээ зөрчсөн тохиолдолд нөгөө талд учруулсан хохирлоо бүрэн нөхөн төлнө. Хохиролд хуульчийн зардал, шүүхийн зардал, нотариатын зардал, томилолтын зардал зэрэг холбогдох бүхий л зардал тооцогдоно. </w:t>
      </w:r>
    </w:p>
    <w:p>
      <w:pPr>
        <w:pStyle w:val="81"/>
        <w:keepNext w:val="0"/>
        <w:keepLines w:val="0"/>
        <w:widowControl/>
        <w:suppressLineNumbers w:val="0"/>
        <w:spacing w:before="240" w:beforeAutospacing="0" w:after="0" w:afterAutospacing="0" w:line="273" w:lineRule="auto"/>
        <w:ind w:left="720" w:right="0"/>
        <w:contextualSpacing/>
        <w:jc w:val="both"/>
        <w:rPr>
          <w:rFonts w:hint="default" w:ascii="Arial" w:hAnsi="Arial" w:eastAsia="仿宋" w:cs="Arial"/>
          <w:b/>
          <w:bCs w:val="0"/>
          <w:sz w:val="24"/>
          <w:szCs w:val="24"/>
        </w:rPr>
      </w:pPr>
      <w:r>
        <w:rPr>
          <w:rFonts w:hint="eastAsia" w:ascii="仿宋" w:hAnsi="仿宋" w:eastAsia="仿宋" w:cs="仿宋"/>
          <w:kern w:val="32"/>
          <w:sz w:val="24"/>
          <w:szCs w:val="24"/>
          <w:lang w:val="en-US" w:eastAsia="zh-CN" w:bidi="ar"/>
        </w:rPr>
        <w:t>如任何一方违约，造成的损失由违约方全额承担。包括但不限于律师费、诉讼费、鉴定费、保全费、差旅费等。</w:t>
      </w:r>
    </w:p>
    <w:p>
      <w:pPr>
        <w:pStyle w:val="81"/>
        <w:keepNext w:val="0"/>
        <w:keepLines w:val="0"/>
        <w:widowControl/>
        <w:suppressLineNumbers w:val="0"/>
        <w:spacing w:before="0" w:beforeAutospacing="1" w:after="0" w:afterAutospacing="0" w:line="273" w:lineRule="auto"/>
        <w:ind w:left="1429"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 xml:space="preserve"> </w:t>
      </w:r>
    </w:p>
    <w:p>
      <w:pPr>
        <w:keepNext w:val="0"/>
        <w:keepLines w:val="0"/>
        <w:widowControl/>
        <w:suppressLineNumbers w:val="0"/>
        <w:tabs>
          <w:tab w:val="left" w:pos="360"/>
          <w:tab w:val="center" w:pos="4680"/>
          <w:tab w:val="left" w:pos="7580"/>
        </w:tabs>
        <w:spacing w:before="0" w:beforeAutospacing="1" w:after="240" w:afterAutospacing="0" w:line="273" w:lineRule="auto"/>
        <w:ind w:left="0" w:right="0"/>
        <w:contextualSpacing/>
        <w:jc w:val="center"/>
        <w:rPr>
          <w:rFonts w:hint="default" w:ascii="Arial" w:hAnsi="Arial" w:eastAsia="Calibri" w:cs="Arial"/>
          <w:b/>
          <w:bCs w:val="0"/>
          <w:color w:val="000000"/>
          <w:sz w:val="24"/>
          <w:szCs w:val="24"/>
        </w:rPr>
      </w:pPr>
      <w:r>
        <w:rPr>
          <w:rFonts w:hint="default" w:ascii="Arial" w:hAnsi="Arial" w:eastAsia="Calibri" w:cs="Arial"/>
          <w:b/>
          <w:bCs w:val="0"/>
          <w:color w:val="000000"/>
          <w:kern w:val="0"/>
          <w:sz w:val="24"/>
          <w:szCs w:val="24"/>
          <w:lang w:val="en-US" w:eastAsia="zh-CN" w:bidi="ar"/>
        </w:rPr>
        <w:t xml:space="preserve">Зургаа. Хүндэтгэн үзэх шалтгаанаар </w:t>
      </w:r>
    </w:p>
    <w:p>
      <w:pPr>
        <w:keepNext w:val="0"/>
        <w:keepLines w:val="0"/>
        <w:widowControl/>
        <w:suppressLineNumbers w:val="0"/>
        <w:tabs>
          <w:tab w:val="left" w:pos="360"/>
          <w:tab w:val="center" w:pos="4680"/>
          <w:tab w:val="left" w:pos="7580"/>
        </w:tabs>
        <w:spacing w:before="0" w:beforeAutospacing="1" w:after="240" w:afterAutospacing="0" w:line="273" w:lineRule="auto"/>
        <w:ind w:left="0" w:right="0"/>
        <w:contextualSpacing/>
        <w:jc w:val="center"/>
        <w:rPr>
          <w:rFonts w:hint="default" w:ascii="Arial" w:hAnsi="Arial" w:eastAsia="Calibri" w:cs="Arial"/>
          <w:b/>
          <w:bCs/>
          <w:sz w:val="24"/>
          <w:szCs w:val="24"/>
        </w:rPr>
      </w:pPr>
      <w:r>
        <w:rPr>
          <w:rFonts w:hint="default" w:ascii="Arial" w:hAnsi="Arial" w:eastAsia="Calibri" w:cs="Arial"/>
          <w:b/>
          <w:bCs w:val="0"/>
          <w:color w:val="000000"/>
          <w:kern w:val="0"/>
          <w:sz w:val="24"/>
          <w:szCs w:val="24"/>
          <w:lang w:val="en-US" w:eastAsia="zh-CN" w:bidi="ar"/>
        </w:rPr>
        <w:t>гэрээний үүрэг, хариуцлагаас чөлөөлөгдөх</w:t>
      </w:r>
      <w:r>
        <w:rPr>
          <w:rFonts w:hint="default" w:ascii="Arial" w:hAnsi="Arial" w:eastAsia="Calibri" w:cs="Arial"/>
          <w:b/>
          <w:bCs/>
          <w:kern w:val="0"/>
          <w:sz w:val="24"/>
          <w:szCs w:val="24"/>
          <w:lang w:val="en-US" w:eastAsia="zh-CN" w:bidi="ar"/>
        </w:rPr>
        <w:t xml:space="preserve"> </w:t>
      </w:r>
    </w:p>
    <w:p>
      <w:pPr>
        <w:keepNext w:val="0"/>
        <w:keepLines w:val="0"/>
        <w:widowControl/>
        <w:suppressLineNumbers w:val="0"/>
        <w:tabs>
          <w:tab w:val="left" w:pos="360"/>
          <w:tab w:val="center" w:pos="4680"/>
          <w:tab w:val="left" w:pos="7580"/>
        </w:tabs>
        <w:spacing w:before="0" w:beforeAutospacing="1" w:after="240" w:afterAutospacing="0" w:line="273" w:lineRule="auto"/>
        <w:ind w:left="0" w:right="0"/>
        <w:contextualSpacing/>
        <w:jc w:val="center"/>
        <w:rPr>
          <w:rFonts w:hint="eastAsia" w:ascii="仿宋" w:hAnsi="仿宋" w:eastAsia="仿宋" w:cs="Arial"/>
          <w:b/>
          <w:bCs/>
          <w:sz w:val="24"/>
          <w:szCs w:val="24"/>
        </w:rPr>
      </w:pPr>
      <w:r>
        <w:rPr>
          <w:rFonts w:hint="eastAsia" w:ascii="仿宋" w:hAnsi="仿宋" w:eastAsia="仿宋" w:cs="仿宋"/>
          <w:b/>
          <w:bCs/>
          <w:kern w:val="0"/>
          <w:sz w:val="24"/>
          <w:szCs w:val="24"/>
          <w:lang w:val="en-US" w:eastAsia="zh-CN" w:bidi="ar"/>
        </w:rPr>
        <w:t>六、不可抗力因素</w:t>
      </w:r>
    </w:p>
    <w:p>
      <w:pPr>
        <w:pStyle w:val="81"/>
        <w:keepNext w:val="0"/>
        <w:keepLines w:val="0"/>
        <w:widowControl/>
        <w:numPr>
          <w:ilvl w:val="1"/>
          <w:numId w:val="32"/>
        </w:numPr>
        <w:suppressLineNumbers w:val="0"/>
        <w:tabs>
          <w:tab w:val="left" w:pos="360"/>
          <w:tab w:val="center" w:pos="4680"/>
          <w:tab w:val="left" w:pos="7580"/>
        </w:tabs>
        <w:spacing w:before="0" w:beforeAutospacing="1" w:after="240" w:afterAutospacing="0" w:line="273" w:lineRule="auto"/>
        <w:ind w:left="720" w:right="0" w:hanging="720"/>
        <w:contextualSpacing/>
        <w:jc w:val="both"/>
        <w:rPr>
          <w:rFonts w:hint="default" w:ascii="Arial" w:hAnsi="Arial" w:eastAsia="Calibri" w:cs="Arial"/>
          <w:bCs/>
          <w:color w:val="000000"/>
          <w:sz w:val="24"/>
          <w:szCs w:val="24"/>
        </w:rPr>
      </w:pPr>
      <w:r>
        <w:rPr>
          <w:rFonts w:hint="default" w:ascii="Arial" w:hAnsi="Arial" w:eastAsia="Calibri" w:cs="Arial"/>
          <w:bCs/>
          <w:color w:val="000000"/>
          <w:kern w:val="0"/>
          <w:sz w:val="24"/>
          <w:szCs w:val="24"/>
          <w:lang w:val="en-US" w:eastAsia="zh-CN" w:bidi="ar"/>
        </w:rPr>
        <w:t>Хүндэтгэн үзэх шалтгаанаар талууд энэхүү гэрээний үүрэг, хариуцлагаас чөлөөлөгдөнө.</w:t>
      </w:r>
      <w:r>
        <w:rPr>
          <w:rFonts w:hint="default" w:ascii="Arial" w:hAnsi="Arial" w:eastAsia="Calibri" w:cs="Arial"/>
          <w:b/>
          <w:bCs/>
          <w:kern w:val="0"/>
          <w:sz w:val="24"/>
          <w:szCs w:val="24"/>
          <w:lang w:val="en-US" w:eastAsia="zh-CN" w:bidi="ar"/>
        </w:rPr>
        <w:t xml:space="preserve"> </w:t>
      </w:r>
    </w:p>
    <w:p>
      <w:pPr>
        <w:pStyle w:val="81"/>
        <w:keepNext w:val="0"/>
        <w:keepLines w:val="0"/>
        <w:widowControl/>
        <w:suppressLineNumbers w:val="0"/>
        <w:spacing w:before="240" w:beforeAutospacing="0" w:after="0" w:afterAutospacing="0" w:line="273" w:lineRule="auto"/>
        <w:ind w:left="720" w:right="0"/>
        <w:contextualSpacing/>
        <w:jc w:val="both"/>
        <w:rPr>
          <w:rFonts w:hint="default" w:ascii="Arial" w:hAnsi="Arial" w:eastAsia="仿宋" w:cs="Arial"/>
          <w:kern w:val="32"/>
          <w:sz w:val="24"/>
          <w:szCs w:val="24"/>
        </w:rPr>
      </w:pPr>
      <w:r>
        <w:rPr>
          <w:rFonts w:hint="eastAsia" w:ascii="仿宋" w:hAnsi="仿宋" w:eastAsia="仿宋" w:cs="仿宋"/>
          <w:kern w:val="32"/>
          <w:sz w:val="24"/>
          <w:szCs w:val="24"/>
          <w:lang w:val="en-US" w:eastAsia="zh-CN" w:bidi="ar"/>
        </w:rPr>
        <w:t>由于不可抗力导致的无法履约情况合同双方可以不承担相关责任。</w:t>
      </w:r>
    </w:p>
    <w:p>
      <w:pPr>
        <w:pStyle w:val="81"/>
        <w:keepNext w:val="0"/>
        <w:keepLines w:val="0"/>
        <w:widowControl/>
        <w:numPr>
          <w:ilvl w:val="1"/>
          <w:numId w:val="32"/>
        </w:numPr>
        <w:suppressLineNumbers w:val="0"/>
        <w:tabs>
          <w:tab w:val="left" w:pos="360"/>
          <w:tab w:val="center" w:pos="4680"/>
          <w:tab w:val="left" w:pos="7580"/>
        </w:tabs>
        <w:spacing w:before="0" w:beforeAutospacing="1" w:after="240" w:afterAutospacing="0" w:line="273" w:lineRule="auto"/>
        <w:ind w:left="720" w:right="0" w:hanging="720"/>
        <w:contextualSpacing/>
        <w:jc w:val="both"/>
        <w:rPr>
          <w:rFonts w:hint="default" w:ascii="Arial" w:hAnsi="Arial" w:eastAsia="Calibri" w:cs="Arial"/>
          <w:bCs/>
          <w:color w:val="000000"/>
          <w:sz w:val="24"/>
          <w:szCs w:val="24"/>
        </w:rPr>
      </w:pPr>
      <w:r>
        <w:rPr>
          <w:rFonts w:hint="default" w:ascii="Arial" w:hAnsi="Arial" w:eastAsia="Calibri" w:cs="Arial"/>
          <w:bCs/>
          <w:color w:val="000000"/>
          <w:kern w:val="0"/>
          <w:sz w:val="24"/>
          <w:szCs w:val="24"/>
          <w:lang w:val="en-US" w:eastAsia="zh-CN" w:bidi="ar"/>
        </w:rPr>
        <w:t xml:space="preserve">Хүндэтгэн үзэх шалтгаан гэдэгт дараах нөхцөл байдлыг ойлгоно: </w:t>
      </w:r>
    </w:p>
    <w:p>
      <w:pPr>
        <w:pStyle w:val="81"/>
        <w:keepNext w:val="0"/>
        <w:keepLines w:val="0"/>
        <w:widowControl/>
        <w:suppressLineNumbers w:val="0"/>
        <w:spacing w:before="240" w:beforeAutospacing="0" w:after="0" w:afterAutospacing="0" w:line="273" w:lineRule="auto"/>
        <w:ind w:left="720" w:right="0"/>
        <w:contextualSpacing/>
        <w:jc w:val="both"/>
        <w:rPr>
          <w:rFonts w:hint="default" w:ascii="Arial" w:hAnsi="Arial" w:eastAsia="仿宋" w:cs="Arial"/>
          <w:kern w:val="32"/>
          <w:sz w:val="24"/>
          <w:szCs w:val="24"/>
        </w:rPr>
      </w:pPr>
      <w:r>
        <w:rPr>
          <w:rFonts w:hint="eastAsia" w:ascii="仿宋" w:hAnsi="仿宋" w:eastAsia="仿宋" w:cs="仿宋"/>
          <w:kern w:val="32"/>
          <w:sz w:val="24"/>
          <w:szCs w:val="24"/>
          <w:lang w:val="en-US" w:eastAsia="zh-CN" w:bidi="ar"/>
        </w:rPr>
        <w:t>不可抗力因素包括：</w:t>
      </w:r>
    </w:p>
    <w:p>
      <w:pPr>
        <w:pStyle w:val="81"/>
        <w:keepNext w:val="0"/>
        <w:keepLines w:val="0"/>
        <w:widowControl/>
        <w:numPr>
          <w:ilvl w:val="2"/>
          <w:numId w:val="32"/>
        </w:numPr>
        <w:suppressLineNumbers w:val="0"/>
        <w:tabs>
          <w:tab w:val="left" w:pos="360"/>
          <w:tab w:val="center" w:pos="4680"/>
          <w:tab w:val="left" w:pos="7580"/>
        </w:tabs>
        <w:spacing w:before="0" w:beforeAutospacing="1" w:after="240" w:afterAutospacing="0" w:line="273" w:lineRule="auto"/>
        <w:ind w:left="1571" w:right="0" w:hanging="720"/>
        <w:contextualSpacing/>
        <w:jc w:val="both"/>
        <w:rPr>
          <w:rFonts w:hint="default" w:ascii="Arial" w:hAnsi="Arial" w:eastAsia="Calibri" w:cs="Arial"/>
          <w:bCs/>
          <w:color w:val="000000"/>
          <w:sz w:val="24"/>
          <w:szCs w:val="24"/>
        </w:rPr>
      </w:pPr>
      <w:r>
        <w:rPr>
          <w:rFonts w:hint="default" w:ascii="Arial" w:hAnsi="Arial" w:eastAsia="Calibri" w:cs="Arial"/>
          <w:bCs/>
          <w:color w:val="000000"/>
          <w:kern w:val="0"/>
          <w:sz w:val="24"/>
          <w:szCs w:val="24"/>
          <w:lang w:val="en-US" w:eastAsia="zh-CN" w:bidi="ar"/>
        </w:rPr>
        <w:t xml:space="preserve">Байгалийн гамшиг, гал түймэр, дайн дажин, төрийн эргэлт, нийтийг хамарсан эмх замбараагүй байдал, гоц халдварт өвчин, хорио цээр зэрэг гэнэтийн болон давагдашгүй хүчин зүйлс бий болсон.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自然灾害，火灾，战争，政变，公共群体事件，传染病，警戒，国际纠纷，邻国运输停止及其他不可抗力因素。</w:t>
      </w:r>
    </w:p>
    <w:p>
      <w:pPr>
        <w:pStyle w:val="81"/>
        <w:keepNext w:val="0"/>
        <w:keepLines w:val="0"/>
        <w:widowControl/>
        <w:numPr>
          <w:ilvl w:val="2"/>
          <w:numId w:val="32"/>
        </w:numPr>
        <w:suppressLineNumbers w:val="0"/>
        <w:tabs>
          <w:tab w:val="left" w:pos="360"/>
          <w:tab w:val="center" w:pos="4680"/>
          <w:tab w:val="left" w:pos="7580"/>
        </w:tabs>
        <w:spacing w:before="0" w:beforeAutospacing="1" w:after="0" w:afterAutospacing="0" w:line="273" w:lineRule="auto"/>
        <w:ind w:left="1571" w:right="0" w:hanging="720"/>
        <w:contextualSpacing/>
        <w:jc w:val="both"/>
        <w:rPr>
          <w:rFonts w:hint="default" w:ascii="Arial" w:hAnsi="Arial" w:eastAsia="Calibri" w:cs="Arial"/>
          <w:bCs/>
          <w:color w:val="000000"/>
          <w:sz w:val="24"/>
          <w:szCs w:val="24"/>
        </w:rPr>
      </w:pPr>
      <w:r>
        <w:rPr>
          <w:rFonts w:hint="default" w:ascii="Arial" w:hAnsi="Arial" w:eastAsia="Calibri" w:cs="Arial"/>
          <w:bCs/>
          <w:color w:val="000000"/>
          <w:kern w:val="0"/>
          <w:sz w:val="24"/>
          <w:szCs w:val="24"/>
          <w:lang w:val="en-US" w:eastAsia="zh-CN" w:bidi="ar"/>
        </w:rPr>
        <w:t xml:space="preserve">Төрийн эрх бүхий байгууллагаас захиалагчийн экспортын үйл ажиллагааг зогсоосон, ашигт малтмал ашиглах эрхийг түдгэлзүүлсэн, цуцалсан. </w:t>
      </w:r>
    </w:p>
    <w:p>
      <w:pPr>
        <w:pStyle w:val="81"/>
        <w:keepNext w:val="0"/>
        <w:keepLines w:val="0"/>
        <w:widowControl/>
        <w:suppressLineNumbers w:val="0"/>
        <w:spacing w:before="0" w:beforeAutospacing="1" w:after="0" w:afterAutospacing="0" w:line="273" w:lineRule="auto"/>
        <w:ind w:left="1429"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政府部门命令禁止甲方运营，矿权停止或被注销。</w:t>
      </w:r>
    </w:p>
    <w:p>
      <w:pPr>
        <w:pStyle w:val="81"/>
        <w:keepNext w:val="0"/>
        <w:keepLines w:val="0"/>
        <w:widowControl/>
        <w:numPr>
          <w:ilvl w:val="1"/>
          <w:numId w:val="32"/>
        </w:numPr>
        <w:suppressLineNumbers w:val="0"/>
        <w:tabs>
          <w:tab w:val="left" w:pos="360"/>
          <w:tab w:val="center" w:pos="4680"/>
          <w:tab w:val="left" w:pos="7580"/>
        </w:tabs>
        <w:spacing w:before="0" w:beforeAutospacing="1" w:after="240" w:afterAutospacing="0" w:line="273" w:lineRule="auto"/>
        <w:ind w:left="720" w:right="0" w:hanging="720"/>
        <w:contextualSpacing/>
        <w:jc w:val="both"/>
        <w:rPr>
          <w:rFonts w:hint="default" w:ascii="Arial" w:hAnsi="Arial" w:eastAsia="Calibri" w:cs="Arial"/>
          <w:bCs/>
          <w:color w:val="000000"/>
          <w:sz w:val="24"/>
          <w:szCs w:val="24"/>
        </w:rPr>
      </w:pPr>
      <w:r>
        <w:rPr>
          <w:rFonts w:hint="default" w:ascii="Arial" w:hAnsi="Arial" w:eastAsia="Calibri" w:cs="Arial"/>
          <w:bCs/>
          <w:color w:val="000000"/>
          <w:kern w:val="0"/>
          <w:sz w:val="24"/>
          <w:szCs w:val="24"/>
          <w:lang w:val="en-US" w:eastAsia="zh-CN" w:bidi="ar"/>
        </w:rPr>
        <w:t>Хүндэтгэн үзэх шалтгаан удаан хугацаанд үргэлжлэх бол гүйцэтгэсэн ажлын бодит гүйцэтгэлээр төлбөр тооцоог дуусгаж, зөрүүг нөгөө талдаа төлнө.</w:t>
      </w:r>
    </w:p>
    <w:p>
      <w:pPr>
        <w:pStyle w:val="81"/>
        <w:keepNext w:val="0"/>
        <w:keepLines w:val="0"/>
        <w:widowControl/>
        <w:suppressLineNumbers w:val="0"/>
        <w:spacing w:before="240" w:beforeAutospacing="0" w:after="0" w:afterAutospacing="0" w:line="273" w:lineRule="auto"/>
        <w:ind w:left="720" w:right="0"/>
        <w:contextualSpacing/>
        <w:jc w:val="both"/>
        <w:rPr>
          <w:rFonts w:hint="default" w:ascii="Arial" w:hAnsi="Arial" w:eastAsia="仿宋" w:cs="Arial"/>
          <w:kern w:val="32"/>
          <w:sz w:val="24"/>
          <w:szCs w:val="24"/>
        </w:rPr>
      </w:pPr>
      <w:r>
        <w:rPr>
          <w:rFonts w:hint="eastAsia" w:ascii="仿宋" w:hAnsi="仿宋" w:eastAsia="仿宋" w:cs="仿宋"/>
          <w:kern w:val="32"/>
          <w:sz w:val="24"/>
          <w:szCs w:val="24"/>
          <w:lang w:val="en-US" w:eastAsia="zh-CN" w:bidi="ar"/>
        </w:rPr>
        <w:t>不可抗力因素长期无法消除的应对已完成部分的工作做好费用结算等善后工作。</w:t>
      </w:r>
    </w:p>
    <w:p>
      <w:pPr>
        <w:pStyle w:val="81"/>
        <w:keepNext w:val="0"/>
        <w:keepLines w:val="0"/>
        <w:widowControl/>
        <w:numPr>
          <w:ilvl w:val="1"/>
          <w:numId w:val="32"/>
        </w:numPr>
        <w:suppressLineNumbers w:val="0"/>
        <w:tabs>
          <w:tab w:val="left" w:pos="360"/>
          <w:tab w:val="center" w:pos="4680"/>
          <w:tab w:val="left" w:pos="7580"/>
        </w:tabs>
        <w:spacing w:before="240" w:beforeAutospacing="0" w:after="240" w:afterAutospacing="0" w:line="273" w:lineRule="auto"/>
        <w:ind w:left="720" w:right="0" w:hanging="720"/>
        <w:contextualSpacing/>
        <w:jc w:val="both"/>
        <w:rPr>
          <w:rFonts w:hint="default" w:ascii="Arial" w:hAnsi="Arial" w:eastAsia="Calibri" w:cs="Arial"/>
          <w:bCs/>
          <w:color w:val="000000"/>
          <w:sz w:val="24"/>
          <w:szCs w:val="24"/>
        </w:rPr>
      </w:pPr>
      <w:r>
        <w:rPr>
          <w:rFonts w:hint="default" w:ascii="Arial" w:hAnsi="Arial" w:eastAsia="Calibri" w:cs="Arial"/>
          <w:color w:val="000000"/>
          <w:kern w:val="0"/>
          <w:sz w:val="24"/>
          <w:szCs w:val="24"/>
          <w:lang w:val="en-US" w:eastAsia="zh-CN" w:bidi="ar"/>
        </w:rPr>
        <w:t xml:space="preserve">Хүндэтгэн үзэх шалтгаанаар өөрийн үүргээ зохих ёсоор гүйцэтгэж чадахгүйд хүрсэн тал нь тухайн нөхцөл байдлын талаар мэдсэн даруйд нөгөө талдаа бичгээр мэдэгдэнэ. Цаг тухайд нь мэдэгдээгүй бол </w:t>
      </w:r>
      <w:r>
        <w:rPr>
          <w:rFonts w:hint="default" w:ascii="Arial" w:hAnsi="Arial" w:eastAsia="Calibri" w:cs="Arial"/>
          <w:bCs/>
          <w:color w:val="000000"/>
          <w:kern w:val="0"/>
          <w:sz w:val="24"/>
          <w:szCs w:val="24"/>
          <w:lang w:val="en-US" w:eastAsia="zh-CN" w:bidi="ar"/>
        </w:rPr>
        <w:t>гэрээний дагуу хүлээсэн үүргээ биелүүлээгүй буюу зохих ёсоор биелүүлээгүйн хариуцлагаас чөлөөлөгдөхгүй.</w:t>
      </w:r>
    </w:p>
    <w:p>
      <w:pPr>
        <w:pStyle w:val="81"/>
        <w:keepNext w:val="0"/>
        <w:keepLines w:val="0"/>
        <w:widowControl/>
        <w:suppressLineNumbers w:val="0"/>
        <w:spacing w:before="240" w:beforeAutospacing="0" w:after="0" w:afterAutospacing="0" w:line="273" w:lineRule="auto"/>
        <w:ind w:left="720" w:right="0"/>
        <w:contextualSpacing/>
        <w:jc w:val="both"/>
        <w:rPr>
          <w:rFonts w:hint="default" w:ascii="Arial" w:hAnsi="Arial" w:eastAsia="仿宋" w:cs="Arial"/>
          <w:kern w:val="32"/>
          <w:sz w:val="24"/>
          <w:szCs w:val="24"/>
        </w:rPr>
      </w:pPr>
      <w:r>
        <w:rPr>
          <w:rFonts w:hint="eastAsia" w:ascii="仿宋" w:hAnsi="仿宋" w:eastAsia="仿宋" w:cs="仿宋"/>
          <w:kern w:val="32"/>
          <w:sz w:val="24"/>
          <w:szCs w:val="24"/>
          <w:lang w:val="en-US" w:eastAsia="zh-CN" w:bidi="ar"/>
        </w:rPr>
        <w:t>受到不可抗力因素影响的一方应第一时间以公函形式告知对方。未及时告知造成的损失将视为未履行合同义务并追究相关责任。</w:t>
      </w:r>
    </w:p>
    <w:p>
      <w:pPr>
        <w:pStyle w:val="81"/>
        <w:keepNext w:val="0"/>
        <w:keepLines w:val="0"/>
        <w:widowControl/>
        <w:suppressLineNumbers w:val="0"/>
        <w:spacing w:before="0" w:beforeAutospacing="1" w:after="0" w:afterAutospacing="0" w:line="273" w:lineRule="auto"/>
        <w:ind w:left="1429"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Долоо. Гэрээг цуцлах</w:t>
      </w:r>
    </w:p>
    <w:p>
      <w:pPr>
        <w:pStyle w:val="81"/>
        <w:keepNext w:val="0"/>
        <w:keepLines w:val="0"/>
        <w:widowControl/>
        <w:suppressLineNumbers w:val="0"/>
        <w:spacing w:before="0" w:beforeAutospacing="1" w:after="160" w:afterAutospacing="0" w:line="273" w:lineRule="auto"/>
        <w:ind w:left="720" w:right="0"/>
        <w:contextualSpacing/>
        <w:jc w:val="center"/>
        <w:rPr>
          <w:rFonts w:hint="default" w:ascii="Arial" w:hAnsi="Arial" w:eastAsia="仿宋" w:cs="Arial"/>
          <w:b/>
          <w:bCs/>
          <w:color w:val="000000"/>
          <w:sz w:val="24"/>
          <w:szCs w:val="24"/>
        </w:rPr>
      </w:pPr>
      <w:r>
        <w:rPr>
          <w:rFonts w:hint="eastAsia" w:ascii="仿宋" w:hAnsi="仿宋" w:eastAsia="仿宋" w:cs="仿宋"/>
          <w:b/>
          <w:bCs/>
          <w:color w:val="000000"/>
          <w:kern w:val="0"/>
          <w:sz w:val="24"/>
          <w:szCs w:val="24"/>
          <w:lang w:val="en-US" w:eastAsia="zh-CN" w:bidi="ar"/>
        </w:rPr>
        <w:t>七、合同解除</w:t>
      </w:r>
    </w:p>
    <w:p>
      <w:pPr>
        <w:pStyle w:val="81"/>
        <w:keepNext w:val="0"/>
        <w:keepLines w:val="0"/>
        <w:widowControl/>
        <w:numPr>
          <w:ilvl w:val="1"/>
          <w:numId w:val="33"/>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Талууд бичгээр харилцан тохиролцсоны дагуу хугацаанаас нь өмнө гэрээг цуцалж болно.</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合同双方协商一致并达成书面协议，可在合约期满之前解除本合同。</w:t>
      </w:r>
    </w:p>
    <w:p>
      <w:pPr>
        <w:pStyle w:val="81"/>
        <w:keepNext w:val="0"/>
        <w:keepLines w:val="0"/>
        <w:widowControl/>
        <w:numPr>
          <w:ilvl w:val="1"/>
          <w:numId w:val="33"/>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Аль нэг тал нь гэрээгээр хүлээсэн үүргээ ноцтой зөрчиж хамтын ажиллагаагаа үргэлжлүүлэхэд хүндрэл учруулвал зөрчил гаргаагүй тал нь  гэрээг цуцлах талаар бичгээр мэдэгдэж, гэрээг дангаараа цуцлах эрхтэй.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任何一方严重违反本合同义务，以致合作难以继续推进，非违约方有权书面通知违约方，并单方面解除本合同。</w:t>
      </w:r>
    </w:p>
    <w:p>
      <w:pPr>
        <w:pStyle w:val="81"/>
        <w:keepNext w:val="0"/>
        <w:keepLines w:val="0"/>
        <w:widowControl/>
        <w:numPr>
          <w:ilvl w:val="1"/>
          <w:numId w:val="33"/>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Давагдашгүй хүчин зүйлийн улмаас гэрээгээр хүлээсэн үүргээ удаан хугацаанд биелүүлэх боломжгүй бол аль ч тал нөгөө талдаа урьдчилан мэдэгдсэний үндсэн дээр гэрээг цуцлах эрхтэй.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因出现不可抗力因素造成本合同约定的工作长期无法进行的，任何一方有权在提前通知对方的基础上，解除本合同。</w:t>
      </w:r>
    </w:p>
    <w:p>
      <w:pPr>
        <w:pStyle w:val="81"/>
        <w:keepNext w:val="0"/>
        <w:keepLines w:val="0"/>
        <w:widowControl/>
        <w:numPr>
          <w:ilvl w:val="1"/>
          <w:numId w:val="33"/>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Захиалагч талын үйлдвэр эсвэл гүйцэтгэгч талын тээвэрлэлт зогссоны улмаас 1 сараас дээш тээвэрлэлт зогссон бол талууд гэрээ цуцлах эрхтэй бөгөөд холбогдох зардлыг өөрсдөө хариуцна.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因甲方停产或乙方停运，造成运输停滞</w:t>
      </w:r>
      <w:r>
        <w:rPr>
          <w:rFonts w:hint="default" w:ascii="Arial" w:hAnsi="Arial" w:eastAsia="仿宋" w:cs="Arial"/>
          <w:kern w:val="0"/>
          <w:sz w:val="24"/>
          <w:szCs w:val="24"/>
          <w:lang w:val="en-US" w:eastAsia="zh-CN" w:bidi="ar"/>
        </w:rPr>
        <w:t>1</w:t>
      </w:r>
      <w:r>
        <w:rPr>
          <w:rFonts w:hint="eastAsia" w:ascii="仿宋" w:hAnsi="仿宋" w:eastAsia="仿宋" w:cs="仿宋"/>
          <w:kern w:val="0"/>
          <w:sz w:val="24"/>
          <w:szCs w:val="24"/>
          <w:lang w:val="en-US" w:eastAsia="zh-CN" w:bidi="ar"/>
        </w:rPr>
        <w:t>个月（含）以上，甲乙双方都有权利解除合同，并各自承担费用。</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_GB2312" w:cs="Arial"/>
          <w:sz w:val="24"/>
          <w:szCs w:val="24"/>
        </w:rPr>
      </w:pPr>
      <w:r>
        <w:rPr>
          <w:rFonts w:hint="default" w:ascii="Arial" w:hAnsi="Arial" w:eastAsia="仿宋_GB2312" w:cs="Arial"/>
          <w:kern w:val="0"/>
          <w:sz w:val="24"/>
          <w:szCs w:val="24"/>
          <w:lang w:val="en-US" w:eastAsia="zh-CN" w:bidi="ar"/>
        </w:rPr>
        <w:t xml:space="preserve"> </w:t>
      </w:r>
    </w:p>
    <w:p>
      <w:pPr>
        <w:pStyle w:val="81"/>
        <w:keepNext w:val="0"/>
        <w:keepLines w:val="0"/>
        <w:widowControl/>
        <w:suppressLineNumbers w:val="0"/>
        <w:spacing w:before="0" w:beforeAutospacing="1" w:after="0" w:afterAutospacing="0" w:line="273" w:lineRule="auto"/>
        <w:ind w:left="0" w:right="0"/>
        <w:contextualSpacing/>
        <w:jc w:val="center"/>
        <w:rPr>
          <w:rFonts w:hint="default" w:ascii="Arial" w:hAnsi="Arial" w:eastAsia="仿宋" w:cs="Arial"/>
          <w:b/>
          <w:bCs/>
          <w:color w:val="000000"/>
          <w:sz w:val="24"/>
          <w:szCs w:val="24"/>
        </w:rPr>
      </w:pPr>
      <w:r>
        <w:rPr>
          <w:rFonts w:hint="default" w:ascii="Arial" w:hAnsi="Arial" w:eastAsia="仿宋" w:cs="Arial"/>
          <w:b/>
          <w:bCs/>
          <w:color w:val="000000"/>
          <w:kern w:val="0"/>
          <w:sz w:val="24"/>
          <w:szCs w:val="24"/>
          <w:lang w:val="en-US" w:eastAsia="zh-CN" w:bidi="ar"/>
        </w:rPr>
        <w:t>Найм. Бусад зүйл</w:t>
      </w:r>
    </w:p>
    <w:p>
      <w:pPr>
        <w:pStyle w:val="81"/>
        <w:keepNext w:val="0"/>
        <w:keepLines w:val="0"/>
        <w:widowControl/>
        <w:suppressLineNumbers w:val="0"/>
        <w:spacing w:before="0" w:beforeAutospacing="1" w:after="160" w:afterAutospacing="0" w:line="273" w:lineRule="auto"/>
        <w:ind w:left="0" w:right="0"/>
        <w:contextualSpacing/>
        <w:jc w:val="center"/>
        <w:rPr>
          <w:rFonts w:hint="default" w:ascii="Arial" w:hAnsi="Arial" w:eastAsia="仿宋" w:cs="Arial"/>
          <w:b/>
          <w:bCs/>
          <w:color w:val="000000"/>
          <w:sz w:val="24"/>
          <w:szCs w:val="24"/>
        </w:rPr>
      </w:pPr>
      <w:r>
        <w:rPr>
          <w:rFonts w:hint="eastAsia" w:ascii="仿宋" w:hAnsi="仿宋" w:eastAsia="仿宋" w:cs="仿宋"/>
          <w:b/>
          <w:bCs/>
          <w:color w:val="000000"/>
          <w:kern w:val="0"/>
          <w:sz w:val="24"/>
          <w:szCs w:val="24"/>
          <w:lang w:val="en-US" w:eastAsia="zh-CN" w:bidi="ar"/>
        </w:rPr>
        <w:t>八、其他</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Энэхүү гэрээ нь талууд гарын үсэг зурж, тамга дарснаар хүчин төгөлдөр болно. </w:t>
      </w:r>
      <w:r>
        <w:rPr>
          <w:rFonts w:hint="eastAsia" w:ascii="仿宋" w:hAnsi="仿宋" w:eastAsia="仿宋" w:cs="仿宋"/>
          <w:color w:val="000000"/>
          <w:kern w:val="0"/>
          <w:sz w:val="24"/>
          <w:szCs w:val="24"/>
          <w:lang w:val="en-US" w:eastAsia="zh-CN" w:bidi="ar"/>
        </w:rPr>
        <w:t>本合同自双方代表签字盖章之日起生效。</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Хөдөлмөрийн аюулгүй байдал, эрүүл ахуй, байгаль орчныг хамгаалах хариуцлагын гэрээ нь энэхүү гэрээний салшгүй хэсэг болно.</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劳动安全、卫生和环保责任协议构成本合同不可分割的组成部分。</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 xml:space="preserve">Тус гэрээг 2025 оны 11 дугаар сарын 01-ны өдрөөс 2026 оны 02 дугаар сарын 01-ний өдөр хүртэл хугацаагаар байгуулав.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kern w:val="0"/>
          <w:sz w:val="24"/>
          <w:szCs w:val="24"/>
          <w:lang w:val="en-US" w:eastAsia="zh-CN" w:bidi="ar"/>
        </w:rPr>
        <w:t>本合同在</w:t>
      </w:r>
      <w:r>
        <w:rPr>
          <w:rFonts w:hint="default" w:ascii="Arial" w:hAnsi="Arial" w:eastAsia="仿宋" w:cs="Arial"/>
          <w:kern w:val="0"/>
          <w:sz w:val="24"/>
          <w:szCs w:val="24"/>
          <w:lang w:val="en-US" w:eastAsia="zh-CN" w:bidi="ar"/>
        </w:rPr>
        <w:t>202</w:t>
      </w:r>
      <w:r>
        <w:rPr>
          <w:rFonts w:hint="eastAsia" w:ascii="Arial" w:hAnsi="Arial" w:eastAsia="仿宋" w:cs="Arial"/>
          <w:kern w:val="0"/>
          <w:sz w:val="24"/>
          <w:szCs w:val="24"/>
          <w:lang w:val="en-US" w:eastAsia="zh-CN" w:bidi="ar"/>
        </w:rPr>
        <w:t>6</w:t>
      </w:r>
      <w:r>
        <w:rPr>
          <w:rFonts w:hint="eastAsia" w:ascii="仿宋" w:hAnsi="仿宋" w:eastAsia="仿宋" w:cs="仿宋"/>
          <w:kern w:val="0"/>
          <w:sz w:val="24"/>
          <w:szCs w:val="24"/>
          <w:lang w:val="en-US" w:eastAsia="zh-CN" w:bidi="ar"/>
        </w:rPr>
        <w:t>年</w:t>
      </w:r>
      <w:r>
        <w:rPr>
          <w:rFonts w:hint="eastAsia" w:ascii="Arial" w:hAnsi="Arial" w:eastAsia="仿宋" w:cs="Arial"/>
          <w:kern w:val="0"/>
          <w:sz w:val="24"/>
          <w:szCs w:val="24"/>
          <w:lang w:val="en-US" w:eastAsia="zh-CN" w:bidi="ar"/>
        </w:rPr>
        <w:t>03</w:t>
      </w:r>
      <w:r>
        <w:rPr>
          <w:rFonts w:hint="eastAsia" w:ascii="仿宋" w:hAnsi="仿宋" w:eastAsia="仿宋" w:cs="仿宋"/>
          <w:kern w:val="0"/>
          <w:sz w:val="24"/>
          <w:szCs w:val="24"/>
          <w:lang w:val="en-US" w:eastAsia="zh-CN" w:bidi="ar"/>
        </w:rPr>
        <w:t>月</w:t>
      </w:r>
      <w:r>
        <w:rPr>
          <w:rFonts w:hint="default" w:ascii="Arial" w:hAnsi="Arial" w:eastAsia="仿宋" w:cs="Arial"/>
          <w:kern w:val="0"/>
          <w:sz w:val="24"/>
          <w:szCs w:val="24"/>
          <w:lang w:val="en-US" w:eastAsia="zh-CN" w:bidi="ar"/>
        </w:rPr>
        <w:t>01</w:t>
      </w:r>
      <w:r>
        <w:rPr>
          <w:rFonts w:hint="eastAsia" w:ascii="仿宋" w:hAnsi="仿宋" w:eastAsia="仿宋" w:cs="仿宋"/>
          <w:kern w:val="0"/>
          <w:sz w:val="24"/>
          <w:szCs w:val="24"/>
          <w:lang w:val="en-US" w:eastAsia="zh-CN" w:bidi="ar"/>
        </w:rPr>
        <w:t>日至</w:t>
      </w:r>
      <w:r>
        <w:rPr>
          <w:rFonts w:hint="default" w:ascii="Arial" w:hAnsi="Arial" w:eastAsia="仿宋" w:cs="Arial"/>
          <w:kern w:val="0"/>
          <w:sz w:val="24"/>
          <w:szCs w:val="24"/>
          <w:lang w:val="en-US" w:eastAsia="zh-CN" w:bidi="ar"/>
        </w:rPr>
        <w:t xml:space="preserve"> 202</w:t>
      </w:r>
      <w:r>
        <w:rPr>
          <w:rFonts w:hint="eastAsia" w:ascii="Arial" w:hAnsi="Arial" w:eastAsia="仿宋" w:cs="Arial"/>
          <w:kern w:val="0"/>
          <w:sz w:val="24"/>
          <w:szCs w:val="24"/>
          <w:lang w:val="en-US" w:eastAsia="zh-CN" w:bidi="ar"/>
        </w:rPr>
        <w:t>7</w:t>
      </w:r>
      <w:r>
        <w:rPr>
          <w:rFonts w:hint="eastAsia" w:ascii="仿宋" w:hAnsi="仿宋" w:eastAsia="仿宋" w:cs="仿宋"/>
          <w:kern w:val="0"/>
          <w:sz w:val="24"/>
          <w:szCs w:val="24"/>
          <w:lang w:val="en-US" w:eastAsia="zh-CN" w:bidi="ar"/>
        </w:rPr>
        <w:t>年</w:t>
      </w:r>
      <w:r>
        <w:rPr>
          <w:rFonts w:hint="default" w:ascii="Arial" w:hAnsi="Arial" w:eastAsia="仿宋" w:cs="Arial"/>
          <w:kern w:val="0"/>
          <w:sz w:val="24"/>
          <w:szCs w:val="24"/>
          <w:lang w:val="en-US" w:eastAsia="zh-CN" w:bidi="ar"/>
        </w:rPr>
        <w:t>02</w:t>
      </w:r>
      <w:r>
        <w:rPr>
          <w:rFonts w:hint="eastAsia" w:ascii="仿宋" w:hAnsi="仿宋" w:eastAsia="仿宋" w:cs="仿宋"/>
          <w:kern w:val="0"/>
          <w:sz w:val="24"/>
          <w:szCs w:val="24"/>
          <w:lang w:val="en-US" w:eastAsia="zh-CN" w:bidi="ar"/>
        </w:rPr>
        <w:t>月</w:t>
      </w:r>
      <w:r>
        <w:rPr>
          <w:rFonts w:hint="eastAsia" w:ascii="Arial" w:hAnsi="Arial" w:eastAsia="仿宋" w:cs="Arial"/>
          <w:kern w:val="0"/>
          <w:sz w:val="24"/>
          <w:szCs w:val="24"/>
          <w:lang w:val="en-US" w:eastAsia="zh-CN" w:bidi="ar"/>
        </w:rPr>
        <w:t>28</w:t>
      </w:r>
      <w:r>
        <w:rPr>
          <w:rFonts w:hint="eastAsia" w:ascii="仿宋" w:hAnsi="仿宋" w:eastAsia="仿宋" w:cs="仿宋"/>
          <w:kern w:val="0"/>
          <w:sz w:val="24"/>
          <w:szCs w:val="24"/>
          <w:lang w:val="en-US" w:eastAsia="zh-CN" w:bidi="ar"/>
        </w:rPr>
        <w:t>日期间有效。</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Энэхүү гэрээг Хятад, Монгол хэл дээр үйлдэх бөгөөд хэрэв зөрүү гарвал Монгол хэлийг баримтлана. Гэрээг тус бүр 6 хувь үйлдэж, талууд тус бүр 3 хувийг хадгална.</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color w:val="000000"/>
          <w:kern w:val="0"/>
          <w:sz w:val="24"/>
          <w:szCs w:val="24"/>
          <w:lang w:val="en-US" w:eastAsia="zh-CN" w:bidi="ar"/>
        </w:rPr>
        <w:t>本合同用中、蒙文书写，如中蒙文表述出现异议，以蒙文为准。本合同一式六份，双方各执三份。</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kern w:val="0"/>
          <w:sz w:val="24"/>
          <w:szCs w:val="24"/>
          <w:lang w:val="en-US" w:eastAsia="zh-CN" w:bidi="ar"/>
        </w:rPr>
        <w:t>Энэхүү гэрээнд нэмэлт өөрчлөлт оруулах бол харилцан тохиролцох замаар нэмэлт гэрээг байгуулж болно. Нэмэлт гэрээ нь энэхүү гэрээтэй адил хууль эрх зүйн хувьд хүчинтэй байна.</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仿宋" w:cs="Arial"/>
          <w:sz w:val="24"/>
          <w:szCs w:val="24"/>
        </w:rPr>
      </w:pPr>
      <w:r>
        <w:rPr>
          <w:rFonts w:hint="eastAsia" w:ascii="仿宋" w:hAnsi="仿宋" w:eastAsia="仿宋" w:cs="仿宋"/>
          <w:color w:val="000000"/>
          <w:kern w:val="0"/>
          <w:sz w:val="24"/>
          <w:szCs w:val="24"/>
          <w:lang w:val="en-US" w:eastAsia="zh-CN" w:bidi="ar"/>
        </w:rPr>
        <w:t>本合同未尽事宜双方经协商一致可以签署补充协议。补充协议与本合同具有同等法律效力。</w:t>
      </w:r>
    </w:p>
    <w:p>
      <w:pPr>
        <w:pStyle w:val="81"/>
        <w:keepNext w:val="0"/>
        <w:keepLines w:val="0"/>
        <w:widowControl/>
        <w:numPr>
          <w:ilvl w:val="1"/>
          <w:numId w:val="34"/>
        </w:numPr>
        <w:suppressLineNumbers w:val="0"/>
        <w:spacing w:before="0" w:beforeAutospacing="1" w:after="160" w:afterAutospacing="0" w:line="273" w:lineRule="auto"/>
        <w:ind w:left="720" w:right="0" w:hanging="720"/>
        <w:contextualSpacing/>
        <w:jc w:val="both"/>
        <w:rPr>
          <w:rFonts w:hint="default" w:ascii="Arial" w:hAnsi="Arial" w:eastAsia="仿宋" w:cs="Arial"/>
          <w:sz w:val="24"/>
          <w:szCs w:val="24"/>
        </w:rPr>
      </w:pPr>
      <w:r>
        <w:rPr>
          <w:rFonts w:hint="default" w:ascii="Arial" w:hAnsi="Arial" w:eastAsia="仿宋" w:cs="Arial"/>
          <w:color w:val="000000"/>
          <w:kern w:val="32"/>
          <w:sz w:val="24"/>
          <w:szCs w:val="24"/>
          <w:lang w:val="en-US" w:eastAsia="zh-CN" w:bidi="ar"/>
        </w:rPr>
        <w:t>Энэхүү гэрээнээс үүссэн аливаа маргааныг талууд эвийн журмаар хэлэлцэн шийдвэрлэнэ. Шийдвэрлэж чадаагүй тохиолдолд Монгол Улсын шүүхээр шийдвэрлүүлнэ.</w:t>
      </w:r>
    </w:p>
    <w:p>
      <w:pPr>
        <w:pStyle w:val="81"/>
        <w:keepNext w:val="0"/>
        <w:keepLines w:val="0"/>
        <w:widowControl/>
        <w:suppressLineNumbers w:val="0"/>
        <w:spacing w:before="0" w:beforeAutospacing="1" w:after="160" w:afterAutospacing="0" w:line="273" w:lineRule="auto"/>
        <w:ind w:left="720" w:right="0"/>
        <w:contextualSpacing/>
        <w:jc w:val="both"/>
        <w:rPr>
          <w:rFonts w:hint="eastAsia" w:ascii="Calibri" w:hAnsi="Calibri" w:eastAsia="仿宋" w:cs="Arial"/>
          <w:sz w:val="24"/>
          <w:szCs w:val="24"/>
        </w:rPr>
      </w:pPr>
      <w:r>
        <w:rPr>
          <w:rFonts w:hint="eastAsia" w:ascii="仿宋" w:hAnsi="仿宋" w:eastAsia="仿宋" w:cs="仿宋"/>
          <w:kern w:val="32"/>
          <w:sz w:val="24"/>
          <w:szCs w:val="24"/>
          <w:lang w:val="en-US" w:eastAsia="zh-CN" w:bidi="ar"/>
        </w:rPr>
        <w:t>凡因本合同引起任何争议，双方应通过友好协商解决。</w:t>
      </w:r>
      <w:r>
        <w:rPr>
          <w:rFonts w:hint="eastAsia" w:ascii="仿宋" w:hAnsi="仿宋" w:eastAsia="仿宋" w:cs="仿宋"/>
          <w:kern w:val="0"/>
          <w:sz w:val="24"/>
          <w:szCs w:val="24"/>
          <w:lang w:val="en-US" w:eastAsia="zh-CN" w:bidi="ar"/>
        </w:rPr>
        <w:t>如果仍无法解决的应通过蒙古国法院进行解决。</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720" w:right="0"/>
        <w:contextualSpacing/>
        <w:jc w:val="both"/>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p>
      <w:pPr>
        <w:pStyle w:val="81"/>
        <w:keepNext w:val="0"/>
        <w:keepLines w:val="0"/>
        <w:widowControl/>
        <w:suppressLineNumbers w:val="0"/>
        <w:spacing w:before="0" w:beforeAutospacing="1" w:after="160" w:afterAutospacing="0" w:line="273" w:lineRule="auto"/>
        <w:ind w:left="0" w:leftChars="0" w:right="0" w:firstLine="0" w:firstLineChars="0"/>
        <w:contextualSpacing/>
        <w:jc w:val="center"/>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ГЭРЭЭ БАЙГУУЛСАН</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b/>
          <w:bCs w:val="0"/>
          <w:sz w:val="24"/>
          <w:szCs w:val="24"/>
        </w:rPr>
      </w:pPr>
      <w:r>
        <w:rPr>
          <w:rFonts w:hint="eastAsia" w:ascii="仿宋" w:hAnsi="仿宋" w:eastAsia="仿宋" w:cs="仿宋"/>
          <w:b/>
          <w:bCs w:val="0"/>
          <w:kern w:val="0"/>
          <w:sz w:val="24"/>
          <w:szCs w:val="24"/>
          <w:lang w:val="en-US" w:eastAsia="zh-CN" w:bidi="ar"/>
        </w:rPr>
        <w:t>签署合同</w:t>
      </w:r>
      <w:r>
        <w:rPr>
          <w:rFonts w:hint="default" w:ascii="Arial" w:hAnsi="Arial" w:eastAsia="Calibri" w:cs="Arial"/>
          <w:b/>
          <w:bCs w:val="0"/>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b/>
          <w:bCs w:val="0"/>
          <w:sz w:val="24"/>
          <w:szCs w:val="24"/>
        </w:rPr>
      </w:pPr>
      <w:r>
        <w:rPr>
          <w:rFonts w:hint="default" w:ascii="Arial" w:hAnsi="Arial" w:eastAsia="Calibri" w:cs="Arial"/>
          <w:b/>
          <w:bCs w:val="0"/>
          <w:kern w:val="0"/>
          <w:sz w:val="24"/>
          <w:szCs w:val="24"/>
          <w:lang w:val="en-US" w:eastAsia="zh-CN" w:bidi="ar"/>
        </w:rPr>
        <w:t xml:space="preserve"> </w:t>
      </w:r>
    </w:p>
    <w:tbl>
      <w:tblPr>
        <w:tblStyle w:val="89"/>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92"/>
        <w:gridCol w:w="373"/>
        <w:gridCol w:w="4506"/>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692"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center"/>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ЗАХИАЛАГЧ</w:t>
            </w:r>
            <w:r>
              <w:rPr>
                <w:rFonts w:hint="eastAsia" w:ascii="仿宋" w:hAnsi="仿宋" w:eastAsia="仿宋" w:cs="仿宋"/>
                <w:color w:val="333333"/>
                <w:kern w:val="0"/>
                <w:sz w:val="24"/>
                <w:szCs w:val="24"/>
                <w:lang w:val="en-US" w:eastAsia="zh-CN" w:bidi="ar"/>
              </w:rPr>
              <w:t>甲方：</w:t>
            </w:r>
          </w:p>
          <w:p>
            <w:pPr>
              <w:keepNext w:val="0"/>
              <w:keepLines w:val="0"/>
              <w:widowControl/>
              <w:suppressLineNumbers w:val="0"/>
              <w:spacing w:before="0" w:beforeAutospacing="1" w:after="160" w:afterAutospacing="0" w:line="273" w:lineRule="auto"/>
              <w:ind w:left="-142" w:right="0"/>
              <w:contextualSpacing w:val="0"/>
              <w:jc w:val="center"/>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“ШИНЬ ШИНЬ” ХХК-ИЙГ ТӨЛӨӨЛЖ:</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ЗАХИРАЛ..................../DAI SHIWU /</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 xml:space="preserve">   </w:t>
            </w:r>
            <w:r>
              <w:rPr>
                <w:rFonts w:hint="eastAsia" w:ascii="仿宋" w:hAnsi="仿宋" w:eastAsia="仿宋" w:cs="仿宋"/>
                <w:color w:val="333333"/>
                <w:kern w:val="0"/>
                <w:sz w:val="24"/>
                <w:szCs w:val="24"/>
                <w:lang w:val="en-US" w:eastAsia="zh-CN" w:bidi="ar"/>
              </w:rPr>
              <w:t>新鑫有限责任公司经理</w:t>
            </w:r>
            <w:r>
              <w:rPr>
                <w:rFonts w:hint="default" w:ascii="Arial" w:hAnsi="Arial" w:eastAsia="仿宋" w:cs="Arial"/>
                <w:color w:val="333333"/>
                <w:kern w:val="0"/>
                <w:sz w:val="24"/>
                <w:szCs w:val="24"/>
                <w:lang w:val="en-US" w:eastAsia="zh-CN" w:bidi="ar"/>
              </w:rPr>
              <w:t>/</w:t>
            </w:r>
            <w:r>
              <w:rPr>
                <w:rFonts w:hint="eastAsia" w:ascii="宋体" w:hAnsi="宋体" w:eastAsia="宋体" w:cs="宋体"/>
                <w:color w:val="333333"/>
                <w:kern w:val="0"/>
                <w:sz w:val="24"/>
                <w:szCs w:val="24"/>
                <w:lang w:val="en-US" w:eastAsia="zh-CN" w:bidi="ar"/>
              </w:rPr>
              <w:t>代世武</w:t>
            </w:r>
            <w:r>
              <w:rPr>
                <w:rFonts w:hint="default" w:ascii="Arial" w:hAnsi="Arial" w:eastAsia="仿宋" w:cs="Arial"/>
                <w:color w:val="333333"/>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i/>
                <w:iCs/>
                <w:color w:val="333333"/>
                <w:kern w:val="0"/>
                <w:sz w:val="24"/>
                <w:szCs w:val="24"/>
                <w:lang w:val="en-US" w:eastAsia="zh-CN" w:bidi="ar"/>
              </w:rPr>
              <w:t xml:space="preserve">  Гарын үсэг /</w:t>
            </w:r>
            <w:r>
              <w:rPr>
                <w:rFonts w:hint="eastAsia" w:ascii="仿宋" w:hAnsi="仿宋" w:eastAsia="仿宋" w:cs="仿宋"/>
                <w:i/>
                <w:iCs/>
                <w:color w:val="333333"/>
                <w:kern w:val="0"/>
                <w:sz w:val="24"/>
                <w:szCs w:val="24"/>
                <w:lang w:val="en-US" w:eastAsia="zh-CN" w:bidi="ar"/>
              </w:rPr>
              <w:t>签字</w:t>
            </w:r>
            <w:r>
              <w:rPr>
                <w:rFonts w:hint="default" w:ascii="Arial" w:hAnsi="Arial" w:eastAsia="仿宋" w:cs="Arial"/>
                <w:i/>
                <w:iCs/>
                <w:color w:val="333333"/>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contextualSpacing w:val="0"/>
              <w:jc w:val="center"/>
              <w:rPr>
                <w:rFonts w:hint="default" w:ascii="Arial" w:hAnsi="Arial" w:eastAsia="Calibri" w:cs="Arial"/>
                <w:b/>
                <w:bCs w:val="0"/>
                <w:color w:val="333333"/>
                <w:sz w:val="24"/>
                <w:szCs w:val="24"/>
              </w:rPr>
            </w:pPr>
          </w:p>
        </w:tc>
        <w:tc>
          <w:tcPr>
            <w:tcW w:w="373"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center"/>
              <w:rPr>
                <w:rFonts w:hint="default" w:ascii="Arial" w:hAnsi="Arial" w:eastAsia="Calibri" w:cs="Arial"/>
                <w:b/>
                <w:bCs w:val="0"/>
                <w:color w:val="333333"/>
                <w:sz w:val="24"/>
                <w:szCs w:val="24"/>
              </w:rPr>
            </w:pPr>
          </w:p>
        </w:tc>
        <w:tc>
          <w:tcPr>
            <w:tcW w:w="4506" w:type="dxa"/>
            <w:tcBorders>
              <w:top w:val="nil"/>
              <w:left w:val="nil"/>
              <w:bottom w:val="nil"/>
              <w:right w:val="nil"/>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center"/>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ГҮЙЦЭТГЭГЧ</w:t>
            </w:r>
            <w:r>
              <w:rPr>
                <w:rFonts w:hint="eastAsia" w:ascii="仿宋" w:hAnsi="仿宋" w:eastAsia="仿宋" w:cs="仿宋"/>
                <w:color w:val="333333"/>
                <w:kern w:val="0"/>
                <w:sz w:val="24"/>
                <w:szCs w:val="24"/>
                <w:lang w:val="en-US" w:eastAsia="zh-CN" w:bidi="ar"/>
              </w:rPr>
              <w:t>乙方：</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i/>
                <w:iCs/>
                <w:color w:val="333333"/>
                <w:kern w:val="0"/>
                <w:sz w:val="24"/>
                <w:szCs w:val="24"/>
                <w:lang w:val="en-US" w:eastAsia="zh-CN" w:bidi="ar"/>
              </w:rPr>
              <w:t xml:space="preserve">  Гарын үсэг /</w:t>
            </w:r>
            <w:r>
              <w:rPr>
                <w:rFonts w:hint="eastAsia" w:ascii="仿宋" w:hAnsi="仿宋" w:eastAsia="仿宋" w:cs="仿宋"/>
                <w:i/>
                <w:iCs/>
                <w:color w:val="333333"/>
                <w:kern w:val="0"/>
                <w:sz w:val="24"/>
                <w:szCs w:val="24"/>
                <w:lang w:val="en-US" w:eastAsia="zh-CN" w:bidi="ar"/>
              </w:rPr>
              <w:t>签字</w:t>
            </w:r>
            <w:r>
              <w:rPr>
                <w:rFonts w:hint="default" w:ascii="Arial" w:hAnsi="Arial" w:eastAsia="仿宋" w:cs="Arial"/>
                <w:i/>
                <w:iCs/>
                <w:color w:val="333333"/>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contextualSpacing w:val="0"/>
              <w:jc w:val="center"/>
              <w:rPr>
                <w:rFonts w:hint="default" w:ascii="Arial" w:hAnsi="Arial" w:eastAsia="Calibri" w:cs="Arial"/>
                <w:b/>
                <w:bCs w:val="0"/>
                <w:color w:val="333333"/>
                <w:sz w:val="24"/>
                <w:szCs w:val="24"/>
              </w:rPr>
            </w:pPr>
          </w:p>
        </w:tc>
      </w:tr>
    </w:tbl>
    <w:p>
      <w:pPr>
        <w:keepNext w:val="0"/>
        <w:keepLines w:val="0"/>
        <w:widowControl/>
        <w:suppressLineNumbers w:val="0"/>
        <w:spacing w:before="0" w:beforeAutospacing="1" w:after="160" w:afterAutospacing="0" w:line="273" w:lineRule="auto"/>
        <w:ind w:left="0" w:right="0"/>
        <w:contextualSpacing/>
        <w:jc w:val="left"/>
        <w:rPr>
          <w:rFonts w:hint="default" w:ascii="Calibri" w:hAnsi="Calibri" w:eastAsia="仿宋" w:cs="Arial"/>
          <w:i/>
          <w:iCs/>
          <w:sz w:val="24"/>
          <w:szCs w:val="24"/>
        </w:rPr>
      </w:pPr>
      <w:r>
        <w:rPr>
          <w:rFonts w:hint="default" w:ascii="Calibri" w:hAnsi="Calibri" w:eastAsia="仿宋" w:cs="Arial"/>
          <w:i/>
          <w:iCs/>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仿宋" w:cs="Arial"/>
          <w:i/>
          <w:iCs/>
          <w:sz w:val="24"/>
          <w:szCs w:val="24"/>
        </w:rPr>
      </w:pPr>
      <w:r>
        <w:rPr>
          <w:rFonts w:hint="default" w:ascii="Arial" w:hAnsi="Arial" w:eastAsia="仿宋" w:cs="Arial"/>
          <w:kern w:val="0"/>
          <w:sz w:val="24"/>
          <w:szCs w:val="24"/>
          <w:lang w:val="en-US" w:eastAsia="zh-CN" w:bidi="ar"/>
        </w:rPr>
        <w:t>ТАЛУУДЫН ХАЯГ:</w:t>
      </w:r>
    </w:p>
    <w:tbl>
      <w:tblPr>
        <w:tblStyle w:val="89"/>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1"/>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“ШИНЬ ШИНЬ” ХХК</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eastAsia" w:ascii="仿宋" w:hAnsi="仿宋" w:eastAsia="仿宋" w:cs="仿宋"/>
                <w:color w:val="333333"/>
                <w:kern w:val="0"/>
                <w:sz w:val="24"/>
                <w:szCs w:val="24"/>
                <w:lang w:val="en-US" w:eastAsia="zh-CN" w:bidi="ar"/>
              </w:rPr>
              <w:t>新鑫有限责任公司</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 xml:space="preserve"> ХХК</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eastAsia" w:ascii="仿宋" w:hAnsi="仿宋" w:eastAsia="仿宋" w:cs="仿宋"/>
                <w:color w:val="333333"/>
                <w:kern w:val="0"/>
                <w:sz w:val="24"/>
                <w:szCs w:val="24"/>
                <w:lang w:val="en-US" w:eastAsia="zh-CN" w:bidi="ar"/>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Хаяг: Дорнод аймгийн Дашбалбар сумын 1-р баг, Улааны уурхай</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eastAsia" w:ascii="仿宋" w:hAnsi="仿宋" w:eastAsia="仿宋" w:cs="仿宋"/>
                <w:color w:val="333333"/>
                <w:kern w:val="0"/>
                <w:sz w:val="24"/>
                <w:szCs w:val="24"/>
                <w:lang w:val="en-US" w:eastAsia="zh-CN" w:bidi="ar"/>
              </w:rPr>
              <w:t>地址：东方省达西县第</w:t>
            </w:r>
            <w:r>
              <w:rPr>
                <w:rFonts w:hint="default" w:ascii="Arial" w:hAnsi="Arial" w:eastAsia="仿宋" w:cs="Arial"/>
                <w:color w:val="333333"/>
                <w:kern w:val="0"/>
                <w:sz w:val="24"/>
                <w:szCs w:val="24"/>
                <w:lang w:val="en-US" w:eastAsia="zh-CN" w:bidi="ar"/>
              </w:rPr>
              <w:t>1</w:t>
            </w:r>
            <w:r>
              <w:rPr>
                <w:rFonts w:hint="eastAsia" w:ascii="仿宋" w:hAnsi="仿宋" w:eastAsia="仿宋" w:cs="仿宋"/>
                <w:color w:val="333333"/>
                <w:kern w:val="0"/>
                <w:sz w:val="24"/>
                <w:szCs w:val="24"/>
                <w:lang w:val="en-US" w:eastAsia="zh-CN" w:bidi="ar"/>
              </w:rPr>
              <w:t>村，乌兰矿</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eastAsia" w:ascii="仿宋" w:hAnsi="仿宋" w:eastAsia="仿宋" w:cs="Arial"/>
                <w:color w:val="333333"/>
                <w:sz w:val="24"/>
                <w:szCs w:val="24"/>
              </w:rPr>
            </w:pPr>
            <w:r>
              <w:rPr>
                <w:rFonts w:hint="default" w:ascii="Arial" w:hAnsi="Arial" w:eastAsia="Calibri" w:cs="Arial"/>
                <w:color w:val="333333"/>
                <w:kern w:val="0"/>
                <w:sz w:val="24"/>
                <w:szCs w:val="24"/>
                <w:lang w:val="en-US" w:eastAsia="zh-CN" w:bidi="ar"/>
              </w:rPr>
              <w:t xml:space="preserve">Хаяг: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Утас: 75997799 Чойбалсан оффис</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eastAsia" w:ascii="仿宋" w:hAnsi="仿宋" w:eastAsia="仿宋" w:cs="仿宋"/>
                <w:color w:val="333333"/>
                <w:kern w:val="0"/>
                <w:sz w:val="24"/>
                <w:szCs w:val="24"/>
                <w:lang w:val="en-US" w:eastAsia="zh-CN" w:bidi="ar"/>
              </w:rPr>
              <w:t>电话：</w:t>
            </w:r>
            <w:r>
              <w:rPr>
                <w:rFonts w:hint="default" w:ascii="Arial" w:hAnsi="Arial" w:eastAsia="仿宋" w:cs="Arial"/>
                <w:color w:val="333333"/>
                <w:kern w:val="0"/>
                <w:sz w:val="24"/>
                <w:szCs w:val="24"/>
                <w:lang w:val="en-US" w:eastAsia="zh-CN" w:bidi="ar"/>
              </w:rPr>
              <w:t>75997799</w:t>
            </w:r>
            <w:r>
              <w:rPr>
                <w:rFonts w:hint="eastAsia" w:ascii="仿宋" w:hAnsi="仿宋" w:eastAsia="仿宋" w:cs="仿宋"/>
                <w:color w:val="333333"/>
                <w:kern w:val="0"/>
                <w:sz w:val="24"/>
                <w:szCs w:val="24"/>
                <w:lang w:val="en-US" w:eastAsia="zh-CN" w:bidi="ar"/>
              </w:rPr>
              <w:t>乔巴山办公室</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Calibri" w:cs="Arial"/>
                <w:color w:val="333333"/>
                <w:sz w:val="24"/>
                <w:szCs w:val="24"/>
              </w:rPr>
            </w:pPr>
            <w:r>
              <w:rPr>
                <w:rFonts w:hint="default" w:ascii="Arial" w:hAnsi="Arial" w:eastAsia="Calibri" w:cs="Arial"/>
                <w:color w:val="333333"/>
                <w:kern w:val="0"/>
                <w:sz w:val="24"/>
                <w:szCs w:val="24"/>
                <w:lang w:val="en-US" w:eastAsia="zh-CN" w:bidi="ar"/>
              </w:rPr>
              <w:t xml:space="preserve">Утас: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default" w:ascii="Arial" w:hAnsi="Arial" w:eastAsia="仿宋" w:cs="Arial"/>
                <w:color w:val="333333"/>
                <w:kern w:val="0"/>
                <w:sz w:val="24"/>
                <w:szCs w:val="24"/>
                <w:lang w:val="en-US" w:eastAsia="zh-CN" w:bidi="ar"/>
              </w:rPr>
              <w:t xml:space="preserve">Э-шуудан: </w:t>
            </w:r>
            <w:r>
              <w:rPr>
                <w:rFonts w:hint="default" w:ascii="Calibri" w:hAnsi="Calibri" w:eastAsia="宋体" w:cs="Arial"/>
                <w:kern w:val="0"/>
                <w:sz w:val="22"/>
                <w:szCs w:val="22"/>
                <w:lang w:val="en-US" w:eastAsia="zh-CN" w:bidi="ar"/>
              </w:rPr>
              <w:fldChar w:fldCharType="begin"/>
            </w:r>
            <w:r>
              <w:rPr>
                <w:rFonts w:hint="default" w:ascii="Calibri" w:hAnsi="Calibri" w:eastAsia="宋体" w:cs="Arial"/>
                <w:kern w:val="0"/>
                <w:sz w:val="22"/>
                <w:szCs w:val="22"/>
                <w:lang w:val="en-US" w:eastAsia="zh-CN" w:bidi="ar"/>
              </w:rPr>
              <w:instrText xml:space="preserve"> HYPERLINK "mailto:xinxinoffice@gmail.com" </w:instrText>
            </w:r>
            <w:r>
              <w:rPr>
                <w:rFonts w:hint="default" w:ascii="Calibri" w:hAnsi="Calibri" w:eastAsia="宋体" w:cs="Arial"/>
                <w:kern w:val="0"/>
                <w:sz w:val="22"/>
                <w:szCs w:val="22"/>
                <w:lang w:val="en-US" w:eastAsia="zh-CN" w:bidi="ar"/>
              </w:rPr>
              <w:fldChar w:fldCharType="separate"/>
            </w:r>
            <w:r>
              <w:rPr>
                <w:rStyle w:val="143"/>
                <w:rFonts w:hint="default" w:ascii="Calibri" w:hAnsi="Calibri" w:cs="Arial"/>
                <w:sz w:val="22"/>
                <w:szCs w:val="22"/>
              </w:rPr>
              <w:t>xinxinoffice@gmail.com</w:t>
            </w:r>
            <w:r>
              <w:rPr>
                <w:rFonts w:hint="default" w:ascii="Calibri" w:hAnsi="Calibri" w:eastAsia="宋体" w:cs="Arial"/>
                <w:kern w:val="0"/>
                <w:sz w:val="22"/>
                <w:szCs w:val="22"/>
                <w:lang w:val="en-US" w:eastAsia="zh-CN" w:bidi="ar"/>
              </w:rPr>
              <w:fldChar w:fldCharType="end"/>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仿宋" w:cs="Arial"/>
                <w:color w:val="333333"/>
                <w:sz w:val="24"/>
                <w:szCs w:val="24"/>
              </w:rPr>
            </w:pPr>
            <w:r>
              <w:rPr>
                <w:rFonts w:hint="eastAsia" w:ascii="仿宋" w:hAnsi="仿宋" w:eastAsia="仿宋" w:cs="仿宋"/>
                <w:color w:val="333333"/>
                <w:kern w:val="0"/>
                <w:sz w:val="24"/>
                <w:szCs w:val="24"/>
                <w:lang w:val="en-US" w:eastAsia="zh-CN" w:bidi="ar"/>
              </w:rPr>
              <w:t>邮箱：</w:t>
            </w:r>
            <w:r>
              <w:rPr>
                <w:rFonts w:hint="default" w:ascii="Calibri" w:hAnsi="Calibri" w:eastAsia="宋体" w:cs="Arial"/>
                <w:kern w:val="0"/>
                <w:sz w:val="22"/>
                <w:szCs w:val="22"/>
                <w:lang w:val="en-US" w:eastAsia="zh-CN" w:bidi="ar"/>
              </w:rPr>
              <w:fldChar w:fldCharType="begin"/>
            </w:r>
            <w:r>
              <w:rPr>
                <w:rFonts w:hint="default" w:ascii="Calibri" w:hAnsi="Calibri" w:eastAsia="宋体" w:cs="Arial"/>
                <w:kern w:val="0"/>
                <w:sz w:val="22"/>
                <w:szCs w:val="22"/>
                <w:lang w:val="en-US" w:eastAsia="zh-CN" w:bidi="ar"/>
              </w:rPr>
              <w:instrText xml:space="preserve"> HYPERLINK "mailto:xinxinoffice@gmail.com" </w:instrText>
            </w:r>
            <w:r>
              <w:rPr>
                <w:rFonts w:hint="default" w:ascii="Calibri" w:hAnsi="Calibri" w:eastAsia="宋体" w:cs="Arial"/>
                <w:kern w:val="0"/>
                <w:sz w:val="22"/>
                <w:szCs w:val="22"/>
                <w:lang w:val="en-US" w:eastAsia="zh-CN" w:bidi="ar"/>
              </w:rPr>
              <w:fldChar w:fldCharType="separate"/>
            </w:r>
            <w:r>
              <w:rPr>
                <w:rStyle w:val="143"/>
                <w:rFonts w:hint="default" w:ascii="Calibri" w:hAnsi="Calibri" w:cs="Arial"/>
                <w:sz w:val="22"/>
                <w:szCs w:val="22"/>
              </w:rPr>
              <w:t>xinxinoffice@gmail.com</w:t>
            </w:r>
            <w:r>
              <w:rPr>
                <w:rFonts w:hint="default" w:ascii="Calibri" w:hAnsi="Calibri" w:eastAsia="宋体" w:cs="Arial"/>
                <w:kern w:val="0"/>
                <w:sz w:val="22"/>
                <w:szCs w:val="22"/>
                <w:lang w:val="en-US" w:eastAsia="zh-CN" w:bidi="ar"/>
              </w:rPr>
              <w:fldChar w:fldCharType="end"/>
            </w:r>
          </w:p>
        </w:tc>
        <w:tc>
          <w:tcPr>
            <w:tcW w:w="49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Calibri" w:cs="Arial"/>
                <w:color w:val="333333"/>
                <w:sz w:val="24"/>
                <w:szCs w:val="24"/>
              </w:rPr>
            </w:pPr>
            <w:r>
              <w:rPr>
                <w:rFonts w:hint="default" w:ascii="Arial" w:hAnsi="Arial" w:eastAsia="Calibri" w:cs="Arial"/>
                <w:color w:val="333333"/>
                <w:kern w:val="0"/>
                <w:sz w:val="24"/>
                <w:szCs w:val="24"/>
                <w:lang w:val="en-US" w:eastAsia="zh-CN" w:bidi="ar"/>
              </w:rPr>
              <w:t xml:space="preserve">Э-шуудан: </w:t>
            </w:r>
          </w:p>
          <w:p>
            <w:pPr>
              <w:keepNext w:val="0"/>
              <w:keepLines w:val="0"/>
              <w:widowControl/>
              <w:suppressLineNumbers w:val="0"/>
              <w:spacing w:before="0" w:beforeAutospacing="1" w:after="160" w:afterAutospacing="0" w:line="273" w:lineRule="auto"/>
              <w:ind w:left="0" w:right="0"/>
              <w:contextualSpacing w:val="0"/>
              <w:jc w:val="both"/>
              <w:rPr>
                <w:rFonts w:hint="default" w:ascii="Arial" w:hAnsi="Arial" w:eastAsia="Calibri" w:cs="Arial"/>
                <w:color w:val="333333"/>
                <w:sz w:val="24"/>
                <w:szCs w:val="24"/>
              </w:rPr>
            </w:pPr>
            <w:r>
              <w:rPr>
                <w:rFonts w:hint="eastAsia" w:ascii="仿宋" w:hAnsi="仿宋" w:eastAsia="仿宋" w:cs="仿宋"/>
                <w:color w:val="333333"/>
                <w:kern w:val="0"/>
                <w:sz w:val="24"/>
                <w:szCs w:val="24"/>
                <w:lang w:val="en-US" w:eastAsia="zh-CN" w:bidi="ar"/>
              </w:rPr>
              <w:t>邮箱：</w:t>
            </w:r>
            <w:r>
              <w:rPr>
                <w:rFonts w:hint="default" w:ascii="Arial" w:hAnsi="Arial" w:eastAsia="Calibri" w:cs="Arial"/>
                <w:color w:val="333333"/>
                <w:kern w:val="0"/>
                <w:sz w:val="24"/>
                <w:szCs w:val="24"/>
                <w:lang w:val="en-US" w:eastAsia="zh-CN" w:bidi="ar"/>
              </w:rPr>
              <w:t xml:space="preserve"> </w:t>
            </w:r>
          </w:p>
        </w:tc>
      </w:tr>
    </w:tbl>
    <w:p>
      <w:pPr>
        <w:keepNext w:val="0"/>
        <w:keepLines w:val="0"/>
        <w:widowControl/>
        <w:suppressLineNumbers w:val="0"/>
        <w:spacing w:before="0" w:beforeAutospacing="1" w:after="160" w:afterAutospacing="0" w:line="273" w:lineRule="auto"/>
        <w:ind w:left="0" w:right="600"/>
        <w:contextualSpacing/>
        <w:jc w:val="left"/>
        <w:rPr>
          <w:rFonts w:hint="default" w:ascii="Arial" w:hAnsi="Arial" w:eastAsia="仿宋" w:cs="Arial"/>
          <w:i/>
          <w:iCs/>
          <w:color w:val="000000"/>
          <w:sz w:val="24"/>
          <w:szCs w:val="24"/>
          <w:u w:val="single"/>
        </w:rPr>
      </w:pPr>
      <w:r>
        <w:rPr>
          <w:rFonts w:hint="default" w:ascii="Arial" w:hAnsi="Arial" w:eastAsia="仿宋" w:cs="Arial"/>
          <w:i/>
          <w:iCs/>
          <w:color w:val="000000"/>
          <w:kern w:val="0"/>
          <w:sz w:val="24"/>
          <w:szCs w:val="24"/>
          <w:u w:val="single"/>
          <w:lang w:val="en-US" w:eastAsia="zh-CN" w:bidi="ar"/>
        </w:rPr>
        <w:t xml:space="preserve"> </w:t>
      </w:r>
    </w:p>
    <w:p>
      <w:pPr>
        <w:keepNext w:val="0"/>
        <w:keepLines w:val="0"/>
        <w:widowControl/>
        <w:suppressLineNumbers w:val="0"/>
        <w:spacing w:before="0" w:beforeAutospacing="1" w:after="160" w:afterAutospacing="0" w:line="273" w:lineRule="auto"/>
        <w:ind w:left="0" w:right="0"/>
        <w:contextualSpacing/>
        <w:jc w:val="right"/>
        <w:rPr>
          <w:rFonts w:hint="default" w:ascii="Arial" w:hAnsi="Arial" w:eastAsia="仿宋" w:cs="Arial"/>
          <w:i/>
          <w:iCs/>
          <w:color w:val="000000"/>
          <w:sz w:val="24"/>
          <w:szCs w:val="24"/>
          <w:u w:val="single"/>
        </w:rPr>
      </w:pPr>
      <w:r>
        <w:rPr>
          <w:rFonts w:hint="default" w:ascii="Arial" w:hAnsi="Arial" w:eastAsia="仿宋" w:cs="Arial"/>
          <w:i/>
          <w:iCs/>
          <w:color w:val="000000"/>
          <w:kern w:val="0"/>
          <w:sz w:val="24"/>
          <w:szCs w:val="24"/>
          <w:u w:val="single"/>
          <w:lang w:val="en-US" w:eastAsia="zh-CN" w:bidi="ar"/>
        </w:rPr>
        <w:t>Баяжмал тээвэрлэх гэрээний хавсралт</w:t>
      </w:r>
    </w:p>
    <w:p>
      <w:pPr>
        <w:keepNext w:val="0"/>
        <w:keepLines w:val="0"/>
        <w:widowControl/>
        <w:suppressLineNumbers w:val="0"/>
        <w:spacing w:before="0" w:beforeAutospacing="1" w:after="160" w:afterAutospacing="0" w:line="273" w:lineRule="auto"/>
        <w:ind w:left="0" w:right="0"/>
        <w:contextualSpacing/>
        <w:jc w:val="right"/>
        <w:rPr>
          <w:rFonts w:hint="default" w:ascii="Calibri" w:hAnsi="Calibri" w:eastAsia="仿宋" w:cs="Arial"/>
          <w:color w:val="000000"/>
          <w:sz w:val="24"/>
          <w:szCs w:val="24"/>
        </w:rPr>
      </w:pPr>
      <w:r>
        <w:rPr>
          <w:rFonts w:hint="eastAsia" w:ascii="仿宋" w:hAnsi="仿宋" w:eastAsia="仿宋" w:cs="仿宋"/>
          <w:color w:val="000000"/>
          <w:kern w:val="0"/>
          <w:sz w:val="24"/>
          <w:szCs w:val="24"/>
          <w:lang w:val="en-US" w:eastAsia="zh-CN" w:bidi="ar"/>
        </w:rPr>
        <w:t>精矿粉运输合同附件</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sz w:val="24"/>
          <w:szCs w:val="24"/>
        </w:rPr>
      </w:pPr>
      <w:r>
        <w:rPr>
          <w:rFonts w:hint="default" w:ascii="Arial" w:hAnsi="Arial" w:eastAsia="Calibri" w:cs="Arial"/>
          <w:kern w:val="0"/>
          <w:sz w:val="24"/>
          <w:szCs w:val="24"/>
          <w:lang w:val="en-US" w:eastAsia="zh-CN" w:bidi="ar"/>
        </w:rPr>
        <w:t xml:space="preserve"> </w:t>
      </w:r>
    </w:p>
    <w:p>
      <w:pPr>
        <w:keepNext w:val="0"/>
        <w:keepLines w:val="0"/>
        <w:widowControl/>
        <w:suppressLineNumbers w:val="0"/>
        <w:spacing w:before="0" w:beforeAutospacing="1" w:after="0" w:afterAutospacing="0" w:line="256" w:lineRule="auto"/>
        <w:ind w:left="0" w:right="0"/>
        <w:jc w:val="left"/>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br w:type="page"/>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ХӨДӨЛМӨРИЙН АЮУЛГҮЙ БАЙДАЛ, ЭРҮҮЛ АХУЙ, БАЙГАЛЬ</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ОРЧНЫГ ХАМГААЛАХ ХАРИУЦЛАГЫН ГЭРЭЭ</w:t>
      </w:r>
    </w:p>
    <w:p>
      <w:pPr>
        <w:keepNext w:val="0"/>
        <w:keepLines w:val="0"/>
        <w:widowControl/>
        <w:suppressLineNumbers w:val="0"/>
        <w:spacing w:before="0" w:beforeAutospacing="1" w:after="160" w:afterAutospacing="0" w:line="273" w:lineRule="auto"/>
        <w:ind w:left="0" w:right="0"/>
        <w:contextualSpacing/>
        <w:jc w:val="center"/>
        <w:rPr>
          <w:rFonts w:hint="default" w:ascii="Arial" w:hAnsi="Arial" w:eastAsia="Calibri" w:cs="Arial"/>
          <w:b/>
          <w:bCs/>
          <w:sz w:val="24"/>
          <w:szCs w:val="24"/>
        </w:rPr>
      </w:pPr>
      <w:r>
        <w:rPr>
          <w:rFonts w:hint="default" w:ascii="Calibri" w:hAnsi="Calibri" w:eastAsia="宋体" w:cs="Calibri"/>
          <w:b/>
          <w:bCs/>
          <w:kern w:val="0"/>
          <w:sz w:val="24"/>
          <w:szCs w:val="24"/>
          <w:lang w:val="en-US" w:eastAsia="zh-CN" w:bidi="ar"/>
        </w:rPr>
        <w:t>劳动安全卫生、环境保护责任协议</w:t>
      </w:r>
    </w:p>
    <w:p>
      <w:pPr>
        <w:pStyle w:val="81"/>
        <w:keepNext w:val="0"/>
        <w:keepLines w:val="0"/>
        <w:widowControl/>
        <w:suppressLineNumbers w:val="0"/>
        <w:spacing w:before="0" w:beforeAutospacing="1" w:after="160" w:afterAutospacing="0" w:line="273" w:lineRule="auto"/>
        <w:ind w:left="720" w:right="0"/>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Нэг.Нийтлэг үндэслэл</w:t>
      </w:r>
    </w:p>
    <w:p>
      <w:pPr>
        <w:pStyle w:val="81"/>
        <w:keepNext w:val="0"/>
        <w:keepLines w:val="0"/>
        <w:widowControl/>
        <w:suppressLineNumbers w:val="0"/>
        <w:spacing w:before="0" w:beforeAutospacing="1" w:after="160" w:afterAutospacing="0" w:line="273" w:lineRule="auto"/>
        <w:ind w:left="720" w:right="0"/>
        <w:contextualSpacing/>
        <w:jc w:val="center"/>
        <w:rPr>
          <w:rFonts w:hint="default" w:ascii="Arial" w:hAnsi="Arial" w:eastAsia="Calibri" w:cs="Arial"/>
          <w:b/>
          <w:bCs/>
          <w:sz w:val="24"/>
          <w:szCs w:val="24"/>
        </w:rPr>
      </w:pPr>
      <w:r>
        <w:rPr>
          <w:rFonts w:hint="default" w:ascii="Calibri" w:hAnsi="Calibri" w:cs="Calibri"/>
          <w:b/>
          <w:bCs/>
          <w:kern w:val="0"/>
          <w:sz w:val="24"/>
          <w:szCs w:val="24"/>
          <w:lang w:val="en-US" w:eastAsia="zh-CN" w:bidi="ar"/>
        </w:rPr>
        <w:t>一、总则</w:t>
      </w:r>
    </w:p>
    <w:p>
      <w:pPr>
        <w:pStyle w:val="81"/>
        <w:keepNext w:val="0"/>
        <w:keepLines w:val="0"/>
        <w:widowControl w:val="0"/>
        <w:numPr>
          <w:ilvl w:val="1"/>
          <w:numId w:val="35"/>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Талууд Хөдөлмөрийн аюулгүй байдал, эрүүл ахуйн тухай хууль</w:t>
      </w:r>
      <w:r>
        <w:rPr>
          <w:rFonts w:hint="default" w:ascii="Arial" w:hAnsi="Arial" w:eastAsia="仿宋" w:cs="Arial"/>
          <w:kern w:val="0"/>
          <w:sz w:val="24"/>
          <w:szCs w:val="24"/>
          <w:lang w:val="en-US" w:eastAsia="zh-CN" w:bidi="ar"/>
        </w:rPr>
        <w:t xml:space="preserve">, Байгаль орчныг хамгаалах тухай хууль, Авто тээврийн тухай хуулийг тус тус </w:t>
      </w:r>
      <w:r>
        <w:rPr>
          <w:rFonts w:hint="default" w:ascii="Arial" w:hAnsi="Arial" w:eastAsia="Calibri" w:cs="Arial"/>
          <w:kern w:val="0"/>
          <w:sz w:val="24"/>
          <w:szCs w:val="24"/>
          <w:lang w:val="en-US" w:eastAsia="zh-CN" w:bidi="ar"/>
        </w:rPr>
        <w:t xml:space="preserve">үндэслэн, баяжмал ачих, буулгах, тээвэрлэх ажлын явцад </w:t>
      </w:r>
      <w:r>
        <w:rPr>
          <w:rFonts w:hint="default" w:ascii="Arial" w:hAnsi="Arial" w:eastAsia="Times New Roman" w:cs="Arial"/>
          <w:kern w:val="0"/>
          <w:sz w:val="24"/>
          <w:szCs w:val="24"/>
          <w:lang w:val="en-US" w:eastAsia="zh-CN" w:bidi="ar"/>
        </w:rPr>
        <w:t>хөдөлмөрийн аюулгүй байдал, аюулгүй ажиллагаа, эрүүл ахуйн шаардлагыг хангах, байгаль орчинд учрах сөрөг нөлөөллийг бууруулах талаар</w:t>
      </w:r>
      <w:r>
        <w:rPr>
          <w:rFonts w:hint="default" w:ascii="Arial" w:hAnsi="Arial" w:eastAsia="Calibri" w:cs="Arial"/>
          <w:kern w:val="0"/>
          <w:sz w:val="24"/>
          <w:szCs w:val="24"/>
          <w:lang w:val="en-US" w:eastAsia="zh-CN" w:bidi="ar"/>
        </w:rPr>
        <w:t xml:space="preserve"> Гүйцэтгэгчийн хүлээх үүрэг, хариуцлагыг тодорхойлох зорилгоор энэхүү гэрээг байгуулав. </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双方根据劳动安全卫生、环境保护相关法律法规，道路运输相关法规等，以规范乙方在精矿粉运输、装卸工作过程中的劳动安全情况，健康卫生情况，环境保护情况等相关责任与义务为目的签订本合同。</w:t>
      </w:r>
    </w:p>
    <w:p>
      <w:pPr>
        <w:pStyle w:val="81"/>
        <w:keepNext w:val="0"/>
        <w:keepLines w:val="0"/>
        <w:widowControl w:val="0"/>
        <w:numPr>
          <w:ilvl w:val="1"/>
          <w:numId w:val="35"/>
        </w:numPr>
        <w:suppressLineNumbers w:val="0"/>
        <w:spacing w:before="0" w:beforeAutospacing="1" w:after="0" w:afterAutospacing="0" w:line="273" w:lineRule="auto"/>
        <w:ind w:left="720"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Хөдөлмөрийн аюулгүй байдал, эрүүл ахуй, аюулгүй ажиллагааны шаардлагыг хангах, байгаль орчныг хамгаалах нь гүйцэтгэгчийн хариуцлага мөн.</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在工作过程中确保劳动安全卫生，保护自然环境是乙方的责任。</w:t>
      </w:r>
    </w:p>
    <w:p>
      <w:pPr>
        <w:pStyle w:val="81"/>
        <w:keepNext w:val="0"/>
        <w:keepLines w:val="0"/>
        <w:widowControl/>
        <w:suppressLineNumbers w:val="0"/>
        <w:spacing w:before="0" w:beforeAutospacing="1" w:after="160" w:afterAutospacing="0" w:line="273" w:lineRule="auto"/>
        <w:ind w:left="482" w:right="0" w:firstLine="482"/>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Хоёр. Захиалагчийн эрх</w:t>
      </w:r>
    </w:p>
    <w:p>
      <w:pPr>
        <w:pStyle w:val="81"/>
        <w:keepNext w:val="0"/>
        <w:keepLines w:val="0"/>
        <w:widowControl/>
        <w:suppressLineNumbers w:val="0"/>
        <w:spacing w:before="0" w:beforeAutospacing="1" w:after="160" w:afterAutospacing="0" w:line="273" w:lineRule="auto"/>
        <w:ind w:left="482" w:right="0" w:firstLine="482"/>
        <w:contextualSpacing/>
        <w:jc w:val="center"/>
        <w:rPr>
          <w:rFonts w:hint="default" w:ascii="Arial" w:hAnsi="Arial" w:eastAsia="Calibri" w:cs="Arial"/>
          <w:b/>
          <w:bCs/>
          <w:sz w:val="24"/>
          <w:szCs w:val="24"/>
        </w:rPr>
      </w:pPr>
      <w:r>
        <w:rPr>
          <w:rFonts w:hint="default" w:ascii="Calibri" w:hAnsi="Calibri" w:cs="Calibri"/>
          <w:b/>
          <w:bCs/>
          <w:kern w:val="0"/>
          <w:sz w:val="24"/>
          <w:szCs w:val="24"/>
          <w:lang w:val="en-US" w:eastAsia="zh-CN" w:bidi="ar"/>
        </w:rPr>
        <w:t>二、甲方的权利</w:t>
      </w:r>
    </w:p>
    <w:p>
      <w:pPr>
        <w:pStyle w:val="81"/>
        <w:keepNext w:val="0"/>
        <w:keepLines w:val="0"/>
        <w:widowControl w:val="0"/>
        <w:numPr>
          <w:ilvl w:val="1"/>
          <w:numId w:val="36"/>
        </w:numPr>
        <w:suppressLineNumbers w:val="0"/>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Захиалагч нь ХАБЭА, аюулгүй ажиллагаа, байгаль орчныг хамгаалах асуудлаар Гүйцэтгэгч болон түүний ажилчдын (хөдөлмөрийн болон бусад төрлийн гэрээтэй бүх ажилчид хамаарна) үйл ажиллагаанд шалгалт хийх, илэрсэн зөрчлийг арилгуулах, таслан зогсоох, хохирлыг нөхөн төлүүлэх, ноцтой нөхцөл үүссэн тохиолдолд тээвэрлэлтийн үйл ажиллагааг зогсоох, зөрчил гаргасан ажилтан ба тээврийн хэрэгслийг тээвэрлэлтэд оролцуулахгүй байх эрхтэй.</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甲方有权对乙方及其员工（与乙方产生劳动关系的所有员工）劳动安全情况，健康卫生情况，环境保护情况进行监督检查，要求其整改发现的隐患，如发生损失的可以要求其赔偿，并要求造成隐患或事故的责任人或设备不得再次进行相关工作。</w:t>
      </w:r>
    </w:p>
    <w:p>
      <w:pPr>
        <w:pStyle w:val="81"/>
        <w:keepNext w:val="0"/>
        <w:keepLines w:val="0"/>
        <w:widowControl/>
        <w:suppressLineNumbers w:val="0"/>
        <w:spacing w:before="0" w:beforeAutospacing="1" w:after="160" w:afterAutospacing="0" w:line="273" w:lineRule="auto"/>
        <w:ind w:left="720" w:right="0"/>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Гурав. Гүйцэтгэгчийн үүрэг, хариуцлага</w:t>
      </w:r>
    </w:p>
    <w:p>
      <w:pPr>
        <w:pStyle w:val="81"/>
        <w:keepNext w:val="0"/>
        <w:keepLines w:val="0"/>
        <w:widowControl/>
        <w:suppressLineNumbers w:val="0"/>
        <w:spacing w:before="0" w:beforeAutospacing="1" w:after="160" w:afterAutospacing="0" w:line="273" w:lineRule="auto"/>
        <w:ind w:left="720" w:right="0"/>
        <w:contextualSpacing/>
        <w:jc w:val="center"/>
        <w:rPr>
          <w:rFonts w:hint="eastAsia" w:ascii="仿宋" w:hAnsi="仿宋" w:eastAsia="仿宋" w:cs="Arial"/>
          <w:b/>
          <w:bCs/>
          <w:sz w:val="24"/>
          <w:szCs w:val="24"/>
        </w:rPr>
      </w:pPr>
      <w:r>
        <w:rPr>
          <w:rFonts w:hint="eastAsia" w:ascii="仿宋" w:hAnsi="仿宋" w:eastAsia="仿宋" w:cs="仿宋"/>
          <w:b/>
          <w:bCs/>
          <w:kern w:val="0"/>
          <w:sz w:val="24"/>
          <w:szCs w:val="24"/>
          <w:lang w:val="en-US" w:eastAsia="zh-CN" w:bidi="ar"/>
        </w:rPr>
        <w:t>三、乙方的责任与义务</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 xml:space="preserve">Гүйцэтгэгч нь "Аюулгүй ажиллагаа, байгаль орчныг хамгаалах ажлын  төлөвлөгөө"-г захиалагчийн хөдөлмөрийн аюулгүй байдал, байгаль орчныг хамгаалах хэлтсээр хянуулж, санал дүгнэлтийг нь тусгаж хэрэгжүүлнэ. </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乙方应编制“劳动安全卫生、环境保护工作计划”并交由甲方劳动安全环保部门审核后执行。</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 xml:space="preserve">Гүйцэтгэгч нь үйл ажиллагаандаа ХАБЭА, байгаль орчныг хамгаалахтай холбоотой хууль, дүрэм, журам, стандартыг чанд мөрдөн, хөдөлмөрийн аюулгүй ажиллагаа, эрүүл ахуйн дэглэмийг хангаж ажиллана. </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乙方在工作过程中应严格遵守与劳动安全卫生、环境保护相关的法律法规，规定条例，标准要求和劳动纪律。</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Гүйцэтгэгч нь ажилтнуудаа хөдөлмөрийн аюулгүй байдал, эрүүл ахуй, аюулгүй ажиллагаа, байгаль орчныг хамгаалах сэдвээр тогтмол сургалтад хамруулж, зааварчилгаа өгч хэвшинэ.</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乙方应定期对员工进行劳动安全、健康卫生、交通安全以及环境保护专题培训，进行安全指导和教育。</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 xml:space="preserve">Гүйцэтгэгч нь аюулгүй ажиллагаа, байгаль орчныг хамгаалах хүрээнд дараах шаардлагыг ХАБЭА, байгаль орчныг хамгаалах төлөвлөгөө, ажилчдын сургалт, аюулгүй ажиллагааны зааварчилгаандаа онцгойлон тусгаж хэрэгжүүлнэ. Үүнд: </w:t>
      </w:r>
    </w:p>
    <w:p>
      <w:pPr>
        <w:pStyle w:val="81"/>
        <w:keepNext w:val="0"/>
        <w:keepLines w:val="0"/>
        <w:widowControl/>
        <w:suppressLineNumbers w:val="0"/>
        <w:spacing w:before="0" w:beforeAutospacing="1" w:after="160" w:afterAutospacing="0" w:line="273" w:lineRule="auto"/>
        <w:ind w:left="638" w:leftChars="304"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乙方应将下列要求作为工作重点纳入“劳动安全卫生、环境保护工作计划”中：</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 xml:space="preserve">Тээвэрлэлтийн замын маршрутыг зөрчихгүй байх, салаа зам үүсгэхгүй байх;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严格遵守规定行驶线路，不得造成草原岔路；</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Calibri" w:cs="Arial"/>
          <w:kern w:val="0"/>
          <w:sz w:val="24"/>
          <w:szCs w:val="24"/>
          <w:lang w:val="en-US" w:eastAsia="zh-CN" w:bidi="ar"/>
        </w:rPr>
        <w:t>Жолооч нар нь хүчин төгөлдөр, зохих ангиллын жолоодох эрхийн болон мэргэшсэн жолоочийн үнэмлэхтэй байх;</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驾驶员应具备相应的经验及专业证书等；</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 xml:space="preserve">Замын хөдөлгөөний дүрмээр тогтоосон хурдыг хэтрүүлэхгүй байх;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不得驾驶设备超过规定速度行驶；</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 xml:space="preserve">Эсрэг урсгалын тээврийн хэрэгсэл зөрөх үед гэрэл шилжүүлэх;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会车时注意灯光；</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 xml:space="preserve">Тээврийн хэрэгсэл зөрөх, гүйцэж түрүүлэх үед хөдөлгөөний соёл, аюулгүй байдлыг хангах;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会车、超车时注意道路安全文明规范；</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eastAsia" w:ascii="仿宋" w:hAnsi="仿宋" w:eastAsia="仿宋" w:cs="Arial"/>
          <w:sz w:val="24"/>
          <w:szCs w:val="24"/>
        </w:rPr>
      </w:pPr>
      <w:r>
        <w:rPr>
          <w:rFonts w:hint="default" w:ascii="Arial" w:hAnsi="Arial" w:eastAsia="仿宋" w:cs="Arial"/>
          <w:kern w:val="0"/>
          <w:sz w:val="24"/>
          <w:szCs w:val="24"/>
          <w:lang w:val="en-US" w:eastAsia="zh-CN" w:bidi="ar"/>
        </w:rPr>
        <w:t xml:space="preserve">Согтууруулах ундаа хэрэглэсэн үед тээврийн хэрэгсэл жолоодохгүй байх;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严禁酒驾；</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 xml:space="preserve">Хөдөлгөөн эхлэхээс өмнө тээврийн хэрэгслийнхээ доогуур, ардуур шалгаж хэвших; </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开车前对设备进行常态化检查；</w:t>
      </w:r>
    </w:p>
    <w:p>
      <w:pPr>
        <w:pStyle w:val="81"/>
        <w:keepNext w:val="0"/>
        <w:keepLines w:val="0"/>
        <w:widowControl w:val="0"/>
        <w:numPr>
          <w:ilvl w:val="2"/>
          <w:numId w:val="37"/>
        </w:numPr>
        <w:suppressLineNumbers w:val="0"/>
        <w:tabs>
          <w:tab w:val="left" w:pos="312"/>
        </w:tabs>
        <w:spacing w:before="0" w:beforeAutospacing="1" w:after="0" w:afterAutospacing="0" w:line="273" w:lineRule="auto"/>
        <w:ind w:left="1429" w:right="0" w:hanging="720"/>
        <w:contextualSpacing/>
        <w:jc w:val="both"/>
        <w:rPr>
          <w:rFonts w:hint="default" w:ascii="Arial" w:hAnsi="Arial" w:eastAsia="Calibri" w:cs="Arial"/>
          <w:sz w:val="24"/>
          <w:szCs w:val="24"/>
        </w:rPr>
      </w:pPr>
      <w:r>
        <w:rPr>
          <w:rFonts w:hint="default" w:ascii="Arial" w:hAnsi="Arial" w:eastAsia="仿宋" w:cs="Arial"/>
          <w:kern w:val="0"/>
          <w:sz w:val="24"/>
          <w:szCs w:val="24"/>
          <w:lang w:val="en-US" w:eastAsia="zh-CN" w:bidi="ar"/>
        </w:rPr>
        <w:t>Тамхины цог хаях зэргээр гал түймрийн эрсдэлтэй үйлдэл гаргахгүй байх.</w:t>
      </w:r>
    </w:p>
    <w:p>
      <w:pPr>
        <w:pStyle w:val="81"/>
        <w:keepNext w:val="0"/>
        <w:keepLines w:val="0"/>
        <w:widowControl w:val="0"/>
        <w:suppressLineNumbers w:val="0"/>
        <w:tabs>
          <w:tab w:val="left" w:pos="312"/>
        </w:tabs>
        <w:spacing w:before="0" w:beforeAutospacing="1" w:after="0" w:afterAutospacing="0" w:line="273" w:lineRule="auto"/>
        <w:ind w:left="1429" w:right="0"/>
        <w:contextualSpacing/>
        <w:jc w:val="both"/>
        <w:rPr>
          <w:rFonts w:hint="eastAsia" w:ascii="仿宋" w:hAnsi="仿宋" w:eastAsia="仿宋" w:cs="Arial"/>
          <w:sz w:val="24"/>
          <w:szCs w:val="24"/>
        </w:rPr>
      </w:pPr>
      <w:r>
        <w:rPr>
          <w:rFonts w:hint="eastAsia" w:ascii="仿宋" w:hAnsi="仿宋" w:eastAsia="仿宋" w:cs="仿宋"/>
          <w:kern w:val="0"/>
          <w:sz w:val="24"/>
          <w:szCs w:val="24"/>
          <w:lang w:val="en-US" w:eastAsia="zh-CN" w:bidi="ar"/>
        </w:rPr>
        <w:t>严禁扔烟头等可能会引发草原火灾的行为。</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Энэ гэрээний 3.4-т заасан шаардлагыг зөрчсөн тээврийн хэрэгсэл, жолоочийг тээвэрлэлтэд оролцуулахгүй байх арга хэмжээ авна.</w:t>
      </w:r>
    </w:p>
    <w:p>
      <w:pPr>
        <w:pStyle w:val="81"/>
        <w:keepNext w:val="0"/>
        <w:keepLines w:val="0"/>
        <w:widowControl/>
        <w:suppressLineNumbers w:val="0"/>
        <w:tabs>
          <w:tab w:val="left" w:pos="312"/>
        </w:tabs>
        <w:spacing w:before="0" w:beforeAutospacing="1" w:after="160" w:afterAutospacing="0" w:line="273" w:lineRule="auto"/>
        <w:ind w:left="709" w:right="0"/>
        <w:contextualSpacing/>
        <w:jc w:val="left"/>
        <w:rPr>
          <w:rFonts w:hint="default" w:ascii="Arial" w:hAnsi="Arial" w:eastAsia="Calibri" w:cs="Arial"/>
          <w:sz w:val="24"/>
          <w:szCs w:val="24"/>
        </w:rPr>
      </w:pPr>
      <w:r>
        <w:rPr>
          <w:rFonts w:hint="eastAsia" w:ascii="仿宋" w:hAnsi="仿宋" w:eastAsia="仿宋" w:cs="仿宋"/>
          <w:kern w:val="0"/>
          <w:sz w:val="24"/>
          <w:szCs w:val="24"/>
          <w:lang w:val="en-US" w:eastAsia="zh-CN" w:bidi="ar"/>
        </w:rPr>
        <w:t>违反本协议3.4条规定的驾驶员不得再次参加运输任务</w:t>
      </w:r>
      <w:r>
        <w:rPr>
          <w:rFonts w:hint="default" w:ascii="Calibri" w:hAnsi="Calibri" w:cs="Calibri"/>
          <w:kern w:val="0"/>
          <w:sz w:val="24"/>
          <w:szCs w:val="24"/>
          <w:lang w:val="en-US" w:eastAsia="zh-CN" w:bidi="ar"/>
        </w:rPr>
        <w:t>。</w:t>
      </w:r>
    </w:p>
    <w:p>
      <w:pPr>
        <w:pStyle w:val="81"/>
        <w:keepNext w:val="0"/>
        <w:keepLines w:val="0"/>
        <w:widowControl w:val="0"/>
        <w:numPr>
          <w:ilvl w:val="1"/>
          <w:numId w:val="37"/>
        </w:numPr>
        <w:suppressLineNumbers w:val="0"/>
        <w:tabs>
          <w:tab w:val="left" w:pos="312"/>
        </w:tabs>
        <w:spacing w:before="0" w:beforeAutospacing="1" w:after="0" w:afterAutospacing="0" w:line="273" w:lineRule="auto"/>
        <w:ind w:left="720" w:right="0" w:hanging="720"/>
        <w:contextualSpacing/>
        <w:jc w:val="both"/>
        <w:rPr>
          <w:rFonts w:hint="eastAsia" w:ascii="仿宋" w:hAnsi="仿宋" w:eastAsia="仿宋" w:cs="Arial"/>
          <w:sz w:val="24"/>
          <w:szCs w:val="24"/>
        </w:rPr>
      </w:pPr>
      <w:r>
        <w:rPr>
          <w:rFonts w:hint="default" w:ascii="Arial" w:hAnsi="Arial" w:eastAsia="Calibri" w:cs="Arial"/>
          <w:kern w:val="0"/>
          <w:sz w:val="24"/>
          <w:szCs w:val="24"/>
          <w:lang w:val="en-US" w:eastAsia="zh-CN" w:bidi="ar"/>
        </w:rPr>
        <w:t>Тээвэрлэлтийн явцад гарсан аливаа ослын үр дагаврыг</w:t>
      </w:r>
      <w:r>
        <w:rPr>
          <w:rFonts w:hint="default" w:ascii="Arial" w:hAnsi="Arial" w:cs="Arial"/>
          <w:kern w:val="0"/>
          <w:sz w:val="24"/>
          <w:szCs w:val="24"/>
          <w:lang w:val="en-US" w:eastAsia="zh-CN" w:bidi="ar"/>
        </w:rPr>
        <w:t xml:space="preserve"> </w:t>
      </w:r>
      <w:r>
        <w:rPr>
          <w:rFonts w:hint="default" w:ascii="Arial" w:hAnsi="Arial" w:eastAsia="Calibri" w:cs="Arial"/>
          <w:kern w:val="0"/>
          <w:sz w:val="24"/>
          <w:szCs w:val="24"/>
          <w:lang w:val="en-US" w:eastAsia="zh-CN" w:bidi="ar"/>
        </w:rPr>
        <w:t xml:space="preserve">цаг тухайд нь хариуцан арилгана.  </w:t>
      </w:r>
    </w:p>
    <w:p>
      <w:pPr>
        <w:pStyle w:val="81"/>
        <w:keepNext w:val="0"/>
        <w:keepLines w:val="0"/>
        <w:widowControl/>
        <w:suppressLineNumbers w:val="0"/>
        <w:tabs>
          <w:tab w:val="left" w:pos="312"/>
        </w:tabs>
        <w:spacing w:before="0" w:beforeAutospacing="1" w:after="160" w:afterAutospacing="0" w:line="273" w:lineRule="auto"/>
        <w:ind w:left="709" w:right="0"/>
        <w:contextualSpacing/>
        <w:jc w:val="left"/>
        <w:rPr>
          <w:rFonts w:hint="eastAsia" w:ascii="仿宋" w:hAnsi="仿宋" w:eastAsia="仿宋" w:cs="Arial"/>
          <w:sz w:val="24"/>
          <w:szCs w:val="24"/>
        </w:rPr>
      </w:pPr>
      <w:r>
        <w:rPr>
          <w:rFonts w:hint="eastAsia" w:ascii="仿宋" w:hAnsi="仿宋" w:eastAsia="仿宋" w:cs="仿宋"/>
          <w:kern w:val="0"/>
          <w:sz w:val="24"/>
          <w:szCs w:val="24"/>
          <w:lang w:val="en-US" w:eastAsia="zh-CN" w:bidi="ar"/>
        </w:rPr>
        <w:t>在运输过程中发现的安全隐患等应及时进行整改消除。</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720" w:right="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pStyle w:val="81"/>
        <w:keepNext w:val="0"/>
        <w:keepLines w:val="0"/>
        <w:widowControl/>
        <w:suppressLineNumbers w:val="0"/>
        <w:tabs>
          <w:tab w:val="left" w:pos="312"/>
        </w:tabs>
        <w:spacing w:before="0" w:beforeAutospacing="1" w:after="160" w:afterAutospacing="0" w:line="273" w:lineRule="auto"/>
        <w:ind w:left="0" w:leftChars="0" w:right="0" w:firstLine="0" w:firstLineChars="0"/>
        <w:contextualSpacing/>
        <w:jc w:val="left"/>
        <w:rPr>
          <w:rFonts w:hint="default" w:ascii="Calibri" w:hAnsi="Calibri" w:eastAsia="仿宋" w:cs="Arial"/>
          <w:sz w:val="24"/>
          <w:szCs w:val="24"/>
        </w:rPr>
      </w:pPr>
      <w:r>
        <w:rPr>
          <w:rFonts w:hint="default" w:ascii="Calibri" w:hAnsi="Calibri" w:eastAsia="仿宋" w:cs="Arial"/>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firstLine="560"/>
        <w:contextualSpacing/>
        <w:jc w:val="center"/>
        <w:rPr>
          <w:rFonts w:hint="default" w:ascii="Arial" w:hAnsi="Arial" w:eastAsia="Calibri" w:cs="Arial"/>
          <w:b/>
          <w:bCs/>
          <w:sz w:val="24"/>
          <w:szCs w:val="24"/>
        </w:rPr>
      </w:pPr>
      <w:r>
        <w:rPr>
          <w:rFonts w:hint="default" w:ascii="Arial" w:hAnsi="Arial" w:eastAsia="Calibri" w:cs="Arial"/>
          <w:b/>
          <w:bCs/>
          <w:kern w:val="0"/>
          <w:sz w:val="24"/>
          <w:szCs w:val="24"/>
          <w:lang w:val="en-US" w:eastAsia="zh-CN" w:bidi="ar"/>
        </w:rPr>
        <w:t>ГЭРЭЭ БАЙГУУЛСАН:</w:t>
      </w:r>
    </w:p>
    <w:p>
      <w:pPr>
        <w:keepNext w:val="0"/>
        <w:keepLines w:val="0"/>
        <w:widowControl/>
        <w:suppressLineNumbers w:val="0"/>
        <w:spacing w:before="0" w:beforeAutospacing="1" w:after="160" w:afterAutospacing="0" w:line="273" w:lineRule="auto"/>
        <w:ind w:left="0" w:right="0" w:firstLine="560"/>
        <w:contextualSpacing/>
        <w:jc w:val="center"/>
        <w:rPr>
          <w:rFonts w:hint="default" w:ascii="Arial" w:hAnsi="Arial" w:eastAsia="等线" w:cs="Arial"/>
          <w:b/>
          <w:bCs/>
          <w:sz w:val="24"/>
          <w:szCs w:val="24"/>
        </w:rPr>
      </w:pPr>
      <w:r>
        <w:rPr>
          <w:rFonts w:hint="eastAsia" w:ascii="等线" w:hAnsi="等线" w:eastAsia="等线" w:cs="等线"/>
          <w:b/>
          <w:bCs/>
          <w:kern w:val="0"/>
          <w:sz w:val="24"/>
          <w:szCs w:val="24"/>
          <w:lang w:val="en-US" w:eastAsia="zh-CN" w:bidi="ar"/>
        </w:rPr>
        <w:t>签署合同</w:t>
      </w:r>
    </w:p>
    <w:p>
      <w:pPr>
        <w:keepNext w:val="0"/>
        <w:keepLines w:val="0"/>
        <w:widowControl/>
        <w:suppressLineNumbers w:val="0"/>
        <w:spacing w:before="0" w:beforeAutospacing="1" w:after="160" w:afterAutospacing="0" w:line="273" w:lineRule="auto"/>
        <w:ind w:left="0" w:right="0" w:firstLine="560"/>
        <w:contextualSpacing/>
        <w:jc w:val="center"/>
        <w:rPr>
          <w:rFonts w:hint="default" w:ascii="Arial" w:hAnsi="Arial" w:eastAsia="等线" w:cs="Arial"/>
          <w:b/>
          <w:bCs/>
          <w:sz w:val="24"/>
          <w:szCs w:val="24"/>
        </w:rPr>
      </w:pPr>
      <w:r>
        <w:rPr>
          <w:rFonts w:hint="default" w:ascii="Arial" w:hAnsi="Arial" w:eastAsia="等线" w:cs="Arial"/>
          <w:b/>
          <w:bCs/>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firstLine="560"/>
        <w:contextualSpacing/>
        <w:jc w:val="left"/>
        <w:rPr>
          <w:rFonts w:hint="default" w:ascii="Calibri" w:hAnsi="Calibri" w:cs="Arial"/>
          <w:sz w:val="24"/>
          <w:szCs w:val="24"/>
        </w:rPr>
      </w:pPr>
      <w:r>
        <w:rPr>
          <w:rFonts w:hint="eastAsia" w:ascii="仿宋" w:hAnsi="仿宋" w:eastAsia="仿宋" w:cs="仿宋"/>
          <w:kern w:val="0"/>
          <w:sz w:val="24"/>
          <w:szCs w:val="24"/>
          <w:lang w:val="en-US" w:eastAsia="zh-CN" w:bidi="ar"/>
        </w:rPr>
        <w:t>甲方</w:t>
      </w:r>
      <w:r>
        <w:rPr>
          <w:rFonts w:hint="default" w:ascii="Arial" w:hAnsi="Arial" w:eastAsia="Calibri" w:cs="Arial"/>
          <w:kern w:val="0"/>
          <w:sz w:val="24"/>
          <w:szCs w:val="24"/>
          <w:lang w:val="en-US" w:eastAsia="zh-CN" w:bidi="ar"/>
        </w:rPr>
        <w:t>Захиалагч тал</w:t>
      </w:r>
      <w:r>
        <w:rPr>
          <w:rFonts w:hint="default" w:ascii="Calibri" w:hAnsi="Calibri" w:eastAsia="宋体" w:cs="Arial"/>
          <w:kern w:val="0"/>
          <w:sz w:val="24"/>
          <w:szCs w:val="24"/>
          <w:lang w:val="en-US" w:eastAsia="zh-CN" w:bidi="ar"/>
        </w:rPr>
        <w:t xml:space="preserve"> </w:t>
      </w:r>
      <w:r>
        <w:rPr>
          <w:rFonts w:hint="eastAsia" w:ascii="微软雅黑" w:hAnsi="微软雅黑" w:eastAsia="微软雅黑" w:cs="微软雅黑"/>
          <w:kern w:val="0"/>
          <w:sz w:val="24"/>
          <w:szCs w:val="24"/>
          <w:lang w:val="en-US" w:eastAsia="zh-CN" w:bidi="ar"/>
        </w:rPr>
        <w:t>：（章</w:t>
      </w:r>
      <w:r>
        <w:rPr>
          <w:rFonts w:hint="default" w:ascii="Arial" w:hAnsi="Arial" w:eastAsia="Calibri" w:cs="Arial"/>
          <w:kern w:val="0"/>
          <w:sz w:val="24"/>
          <w:szCs w:val="24"/>
          <w:lang w:val="en-US" w:eastAsia="zh-CN" w:bidi="ar"/>
        </w:rPr>
        <w:t>Тамга</w:t>
      </w:r>
      <w:r>
        <w:rPr>
          <w:rFonts w:hint="eastAsia" w:ascii="微软雅黑" w:hAnsi="微软雅黑" w:eastAsia="微软雅黑" w:cs="微软雅黑"/>
          <w:kern w:val="0"/>
          <w:sz w:val="24"/>
          <w:szCs w:val="24"/>
          <w:lang w:val="en-US" w:eastAsia="zh-CN" w:bidi="ar"/>
        </w:rPr>
        <w:t xml:space="preserve">）    </w:t>
      </w:r>
      <w:r>
        <w:rPr>
          <w:rFonts w:hint="eastAsia" w:ascii="仿宋" w:hAnsi="仿宋" w:eastAsia="仿宋" w:cs="仿宋"/>
          <w:kern w:val="0"/>
          <w:sz w:val="24"/>
          <w:szCs w:val="24"/>
          <w:lang w:val="en-US" w:eastAsia="zh-CN" w:bidi="ar"/>
        </w:rPr>
        <w:t xml:space="preserve"> 乙方</w:t>
      </w:r>
      <w:r>
        <w:rPr>
          <w:rFonts w:hint="default" w:ascii="Arial" w:hAnsi="Arial" w:eastAsia="Calibri" w:cs="Arial"/>
          <w:kern w:val="0"/>
          <w:sz w:val="24"/>
          <w:szCs w:val="24"/>
          <w:lang w:val="en-US" w:eastAsia="zh-CN" w:bidi="ar"/>
        </w:rPr>
        <w:t>Гүйцэтгэгч тал</w:t>
      </w:r>
      <w:r>
        <w:rPr>
          <w:rFonts w:hint="default" w:ascii="Calibri" w:hAnsi="Calibri" w:eastAsia="宋体" w:cs="Arial"/>
          <w:kern w:val="0"/>
          <w:sz w:val="24"/>
          <w:szCs w:val="24"/>
          <w:lang w:val="en-US" w:eastAsia="zh-CN" w:bidi="ar"/>
        </w:rPr>
        <w:t xml:space="preserve"> </w:t>
      </w:r>
      <w:r>
        <w:rPr>
          <w:rFonts w:hint="eastAsia" w:ascii="微软雅黑" w:hAnsi="微软雅黑" w:eastAsia="微软雅黑" w:cs="微软雅黑"/>
          <w:kern w:val="0"/>
          <w:sz w:val="24"/>
          <w:szCs w:val="24"/>
          <w:lang w:val="en-US" w:eastAsia="zh-CN" w:bidi="ar"/>
        </w:rPr>
        <w:t>：（章</w:t>
      </w:r>
      <w:r>
        <w:rPr>
          <w:rFonts w:hint="default" w:ascii="Arial" w:hAnsi="Arial" w:eastAsia="Calibri" w:cs="Arial"/>
          <w:kern w:val="0"/>
          <w:sz w:val="24"/>
          <w:szCs w:val="24"/>
          <w:lang w:val="en-US" w:eastAsia="zh-CN" w:bidi="ar"/>
        </w:rPr>
        <w:t>Тамга</w:t>
      </w:r>
      <w:r>
        <w:rPr>
          <w:rFonts w:hint="eastAsia" w:ascii="微软雅黑" w:hAnsi="微软雅黑" w:eastAsia="微软雅黑" w:cs="微软雅黑"/>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firstLine="560"/>
        <w:contextualSpacing/>
        <w:jc w:val="left"/>
        <w:rPr>
          <w:rFonts w:hint="default" w:ascii="Calibri" w:hAnsi="Calibri" w:cs="Arial"/>
          <w:sz w:val="24"/>
          <w:szCs w:val="24"/>
        </w:rPr>
      </w:pPr>
      <w:r>
        <w:rPr>
          <w:rFonts w:hint="default" w:ascii="Calibri" w:hAnsi="Calibri" w:eastAsia="宋体" w:cs="Arial"/>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firstLine="560"/>
        <w:contextualSpacing/>
        <w:jc w:val="left"/>
        <w:rPr>
          <w:rFonts w:hint="default" w:ascii="Calibri" w:hAnsi="Calibri" w:cs="Arial"/>
          <w:sz w:val="24"/>
          <w:szCs w:val="24"/>
        </w:rPr>
      </w:pPr>
      <w:r>
        <w:rPr>
          <w:rFonts w:hint="eastAsia" w:ascii="仿宋" w:hAnsi="仿宋" w:eastAsia="仿宋" w:cs="仿宋"/>
          <w:kern w:val="0"/>
          <w:sz w:val="24"/>
          <w:szCs w:val="24"/>
          <w:lang w:val="en-US" w:eastAsia="zh-CN" w:bidi="ar"/>
        </w:rPr>
        <w:t>签字</w:t>
      </w:r>
      <w:r>
        <w:rPr>
          <w:rFonts w:hint="default" w:ascii="Arial" w:hAnsi="Arial" w:eastAsia="Calibri" w:cs="Arial"/>
          <w:kern w:val="0"/>
          <w:sz w:val="24"/>
          <w:szCs w:val="24"/>
          <w:lang w:val="en-US" w:eastAsia="zh-CN" w:bidi="ar"/>
        </w:rPr>
        <w:t xml:space="preserve">Гарын үсэг: ...................                         </w:t>
      </w:r>
      <w:r>
        <w:rPr>
          <w:rFonts w:hint="default" w:ascii="Calibri" w:hAnsi="Calibri" w:eastAsia="宋体" w:cs="Arial"/>
          <w:kern w:val="0"/>
          <w:sz w:val="24"/>
          <w:szCs w:val="24"/>
          <w:lang w:val="en-US" w:eastAsia="zh-CN" w:bidi="ar"/>
        </w:rPr>
        <w:t xml:space="preserve">  </w:t>
      </w:r>
      <w:r>
        <w:rPr>
          <w:rFonts w:hint="eastAsia" w:ascii="仿宋" w:hAnsi="仿宋" w:eastAsia="仿宋" w:cs="仿宋"/>
          <w:kern w:val="0"/>
          <w:sz w:val="24"/>
          <w:szCs w:val="24"/>
          <w:lang w:val="en-US" w:eastAsia="zh-CN" w:bidi="ar"/>
        </w:rPr>
        <w:t>签字</w:t>
      </w:r>
      <w:r>
        <w:rPr>
          <w:rFonts w:hint="default" w:ascii="Arial" w:hAnsi="Arial" w:eastAsia="Calibri" w:cs="Arial"/>
          <w:kern w:val="0"/>
          <w:sz w:val="24"/>
          <w:szCs w:val="24"/>
          <w:lang w:val="en-US" w:eastAsia="zh-CN" w:bidi="ar"/>
        </w:rPr>
        <w:t>Гарын үсэг</w:t>
      </w:r>
      <w:r>
        <w:rPr>
          <w:rFonts w:hint="eastAsia" w:ascii="微软雅黑" w:hAnsi="微软雅黑" w:eastAsia="微软雅黑" w:cs="微软雅黑"/>
          <w:kern w:val="0"/>
          <w:sz w:val="24"/>
          <w:szCs w:val="24"/>
          <w:lang w:val="en-US" w:eastAsia="zh-CN" w:bidi="ar"/>
        </w:rPr>
        <w:t>：</w:t>
      </w:r>
      <w:r>
        <w:rPr>
          <w:rFonts w:hint="default" w:ascii="Calibri" w:hAnsi="Calibri" w:eastAsia="宋体" w:cs="Arial"/>
          <w:kern w:val="0"/>
          <w:sz w:val="24"/>
          <w:szCs w:val="24"/>
          <w:lang w:val="en-US" w:eastAsia="zh-CN" w:bidi="ar"/>
        </w:rPr>
        <w:t>...........................</w:t>
      </w:r>
    </w:p>
    <w:p>
      <w:pPr>
        <w:keepNext w:val="0"/>
        <w:keepLines w:val="0"/>
        <w:widowControl/>
        <w:suppressLineNumbers w:val="0"/>
        <w:spacing w:before="0" w:beforeAutospacing="1" w:after="160" w:afterAutospacing="0" w:line="273" w:lineRule="auto"/>
        <w:ind w:left="0" w:right="0" w:firstLine="560"/>
        <w:contextualSpacing/>
        <w:jc w:val="left"/>
        <w:rPr>
          <w:rFonts w:hint="default" w:ascii="Calibri" w:hAnsi="Calibri" w:cs="Arial"/>
          <w:sz w:val="24"/>
          <w:szCs w:val="24"/>
        </w:rPr>
      </w:pPr>
      <w:r>
        <w:rPr>
          <w:rFonts w:hint="default" w:ascii="Calibri" w:hAnsi="Calibri" w:eastAsia="宋体" w:cs="Arial"/>
          <w:kern w:val="0"/>
          <w:sz w:val="24"/>
          <w:szCs w:val="24"/>
          <w:lang w:val="en-US" w:eastAsia="zh-CN" w:bidi="ar"/>
        </w:rPr>
        <w:t xml:space="preserve"> </w:t>
      </w:r>
    </w:p>
    <w:p>
      <w:pPr>
        <w:keepNext w:val="0"/>
        <w:keepLines w:val="0"/>
        <w:widowControl/>
        <w:suppressLineNumbers w:val="0"/>
        <w:spacing w:before="0" w:beforeAutospacing="1" w:after="160" w:afterAutospacing="0" w:line="273" w:lineRule="auto"/>
        <w:ind w:left="0" w:right="0" w:firstLine="560"/>
        <w:contextualSpacing/>
        <w:jc w:val="left"/>
        <w:rPr>
          <w:rFonts w:hint="default" w:ascii="Calibri" w:hAnsi="Calibri" w:cs="Arial"/>
          <w:sz w:val="24"/>
          <w:szCs w:val="24"/>
        </w:rPr>
      </w:pPr>
      <w:r>
        <w:rPr>
          <w:rFonts w:hint="eastAsia" w:ascii="仿宋" w:hAnsi="仿宋" w:eastAsia="仿宋" w:cs="仿宋"/>
          <w:kern w:val="0"/>
          <w:sz w:val="24"/>
          <w:szCs w:val="24"/>
          <w:lang w:val="en-US" w:eastAsia="zh-CN" w:bidi="ar"/>
        </w:rPr>
        <w:t>签字日期</w:t>
      </w:r>
      <w:r>
        <w:rPr>
          <w:rFonts w:hint="default" w:ascii="Arial" w:hAnsi="Arial" w:eastAsia="Calibri" w:cs="Arial"/>
          <w:kern w:val="0"/>
          <w:sz w:val="24"/>
          <w:szCs w:val="24"/>
          <w:lang w:val="en-US" w:eastAsia="zh-CN" w:bidi="ar"/>
        </w:rPr>
        <w:t>Огноо</w:t>
      </w:r>
      <w:r>
        <w:rPr>
          <w:rFonts w:hint="eastAsia" w:ascii="微软雅黑" w:hAnsi="微软雅黑" w:eastAsia="微软雅黑" w:cs="微软雅黑"/>
          <w:kern w:val="0"/>
          <w:sz w:val="24"/>
          <w:szCs w:val="24"/>
          <w:lang w:val="en-US" w:eastAsia="zh-CN" w:bidi="ar"/>
        </w:rPr>
        <w:t xml:space="preserve">：  </w:t>
      </w:r>
      <w:r>
        <w:rPr>
          <w:rFonts w:hint="default" w:ascii="Calibri" w:hAnsi="Calibri" w:eastAsia="宋体" w:cs="Arial"/>
          <w:kern w:val="0"/>
          <w:sz w:val="24"/>
          <w:szCs w:val="24"/>
          <w:lang w:val="en-US" w:eastAsia="zh-CN" w:bidi="ar"/>
        </w:rPr>
        <w:t xml:space="preserve">                                                 </w:t>
      </w:r>
      <w:r>
        <w:rPr>
          <w:rFonts w:hint="eastAsia" w:ascii="仿宋" w:hAnsi="仿宋" w:eastAsia="仿宋" w:cs="仿宋"/>
          <w:kern w:val="0"/>
          <w:sz w:val="24"/>
          <w:szCs w:val="24"/>
          <w:lang w:val="en-US" w:eastAsia="zh-CN" w:bidi="ar"/>
        </w:rPr>
        <w:t>签字日期</w:t>
      </w:r>
      <w:r>
        <w:rPr>
          <w:rFonts w:hint="default" w:ascii="Arial" w:hAnsi="Arial" w:eastAsia="Calibri" w:cs="Arial"/>
          <w:kern w:val="0"/>
          <w:sz w:val="24"/>
          <w:szCs w:val="24"/>
          <w:lang w:val="en-US" w:eastAsia="zh-CN" w:bidi="ar"/>
        </w:rPr>
        <w:t>Огноо</w:t>
      </w:r>
      <w:r>
        <w:rPr>
          <w:rFonts w:hint="eastAsia" w:ascii="微软雅黑" w:hAnsi="微软雅黑" w:eastAsia="微软雅黑" w:cs="微软雅黑"/>
          <w:kern w:val="0"/>
          <w:sz w:val="24"/>
          <w:szCs w:val="24"/>
          <w:lang w:val="en-US" w:eastAsia="zh-CN" w:bidi="ar"/>
        </w:rPr>
        <w:t>：</w:t>
      </w:r>
      <w:bookmarkStart w:id="144" w:name="_Hlk126698811"/>
      <w:bookmarkEnd w:id="144"/>
    </w:p>
    <w:p>
      <w:pPr>
        <w:spacing w:line="560" w:lineRule="exact"/>
        <w:ind w:left="480" w:firstLine="480" w:firstLineChars="200"/>
        <w:rPr>
          <w:color w:val="000000" w:themeColor="text1"/>
          <w:kern w:val="32"/>
          <w:sz w:val="24"/>
          <w14:textFill>
            <w14:solidFill>
              <w14:schemeClr w14:val="tx1"/>
            </w14:solidFill>
          </w14:textFill>
        </w:rPr>
      </w:pPr>
      <w:r>
        <w:rPr>
          <w:rFonts w:hint="eastAsia" w:ascii="仿宋" w:hAnsi="仿宋" w:eastAsia="仿宋" w:cs="Arial"/>
          <w:sz w:val="24"/>
          <w:szCs w:val="24"/>
        </w:rPr>
        <w:t xml:space="preserve">    </w:t>
      </w:r>
      <w:r>
        <w:rPr>
          <w:rFonts w:hint="eastAsia" w:ascii="仿宋" w:hAnsi="仿宋" w:eastAsia="仿宋" w:cs="仿宋"/>
          <w:sz w:val="24"/>
          <w:szCs w:val="24"/>
        </w:rPr>
        <w:t>年</w:t>
      </w:r>
      <w:r>
        <w:rPr>
          <w:rFonts w:hint="default" w:ascii="Arial" w:hAnsi="Arial" w:eastAsia="Calibri" w:cs="Arial"/>
          <w:sz w:val="24"/>
          <w:szCs w:val="24"/>
        </w:rPr>
        <w:t>он</w:t>
      </w:r>
      <w:r>
        <w:rPr>
          <w:rFonts w:hint="eastAsia" w:ascii="微软雅黑" w:hAnsi="微软雅黑" w:eastAsia="微软雅黑" w:cs="微软雅黑"/>
          <w:sz w:val="24"/>
          <w:szCs w:val="24"/>
        </w:rPr>
        <w:t xml:space="preserve">  </w:t>
      </w:r>
      <w:r>
        <w:rPr>
          <w:rFonts w:hint="eastAsia" w:ascii="仿宋" w:hAnsi="仿宋" w:eastAsia="仿宋" w:cs="仿宋"/>
          <w:sz w:val="24"/>
          <w:szCs w:val="24"/>
        </w:rPr>
        <w:t>月</w:t>
      </w:r>
      <w:r>
        <w:rPr>
          <w:rFonts w:hint="default" w:ascii="Arial" w:hAnsi="Arial" w:eastAsia="Calibri" w:cs="Arial"/>
          <w:sz w:val="24"/>
          <w:szCs w:val="24"/>
        </w:rPr>
        <w:t>сар</w:t>
      </w:r>
      <w:r>
        <w:rPr>
          <w:rFonts w:hint="eastAsia" w:ascii="微软雅黑" w:hAnsi="微软雅黑" w:eastAsia="微软雅黑" w:cs="微软雅黑"/>
          <w:sz w:val="24"/>
          <w:szCs w:val="24"/>
        </w:rPr>
        <w:t xml:space="preserve">  </w:t>
      </w:r>
      <w:r>
        <w:rPr>
          <w:rFonts w:hint="eastAsia" w:ascii="仿宋" w:hAnsi="仿宋" w:eastAsia="仿宋" w:cs="仿宋"/>
          <w:sz w:val="24"/>
          <w:szCs w:val="24"/>
        </w:rPr>
        <w:t>日</w:t>
      </w:r>
      <w:r>
        <w:rPr>
          <w:rFonts w:hint="default" w:ascii="Arial" w:hAnsi="Arial" w:eastAsia="Calibri" w:cs="Arial"/>
          <w:sz w:val="24"/>
          <w:szCs w:val="24"/>
        </w:rPr>
        <w:t>өдөр</w:t>
      </w:r>
      <w:r>
        <w:rPr>
          <w:rFonts w:hint="eastAsia" w:ascii="微软雅黑" w:hAnsi="微软雅黑" w:eastAsia="微软雅黑" w:cs="微软雅黑"/>
          <w:sz w:val="24"/>
          <w:szCs w:val="24"/>
        </w:rPr>
        <w:t xml:space="preserve">    </w:t>
      </w:r>
      <w:r>
        <w:rPr>
          <w:rFonts w:hint="default" w:ascii="Calibri" w:hAnsi="Calibri" w:eastAsia="宋体" w:cs="Arial"/>
          <w:sz w:val="24"/>
          <w:szCs w:val="24"/>
        </w:rPr>
        <w:t xml:space="preserve">                   </w:t>
      </w:r>
      <w:r>
        <w:rPr>
          <w:rFonts w:hint="eastAsia" w:ascii="仿宋" w:hAnsi="仿宋" w:eastAsia="仿宋" w:cs="仿宋"/>
          <w:sz w:val="24"/>
          <w:szCs w:val="24"/>
        </w:rPr>
        <w:t>年</w:t>
      </w:r>
      <w:r>
        <w:rPr>
          <w:rFonts w:hint="default" w:ascii="Arial" w:hAnsi="Arial" w:eastAsia="Calibri" w:cs="Arial"/>
          <w:sz w:val="24"/>
          <w:szCs w:val="24"/>
        </w:rPr>
        <w:t>он</w:t>
      </w:r>
      <w:r>
        <w:rPr>
          <w:rFonts w:hint="eastAsia" w:ascii="微软雅黑" w:hAnsi="微软雅黑" w:eastAsia="微软雅黑" w:cs="微软雅黑"/>
          <w:sz w:val="24"/>
          <w:szCs w:val="24"/>
        </w:rPr>
        <w:t xml:space="preserve">  </w:t>
      </w:r>
      <w:r>
        <w:rPr>
          <w:rFonts w:hint="eastAsia" w:ascii="仿宋" w:hAnsi="仿宋" w:eastAsia="仿宋" w:cs="仿宋"/>
          <w:sz w:val="24"/>
          <w:szCs w:val="24"/>
        </w:rPr>
        <w:t>月</w:t>
      </w:r>
      <w:r>
        <w:rPr>
          <w:rFonts w:hint="default" w:ascii="Arial" w:hAnsi="Arial" w:eastAsia="Calibri" w:cs="Arial"/>
          <w:sz w:val="24"/>
          <w:szCs w:val="24"/>
        </w:rPr>
        <w:t>сар</w:t>
      </w: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000000" w:themeColor="text1"/>
          <w:sz w:val="24"/>
          <w:szCs w:val="24"/>
          <w14:textFill>
            <w14:solidFill>
              <w14:schemeClr w14:val="tx1"/>
            </w14:solidFill>
          </w14:textFill>
        </w:rPr>
        <w:t>　</w:t>
      </w:r>
      <w:r>
        <w:rPr>
          <w:rFonts w:hint="eastAsia" w:ascii="仿宋" w:hAnsi="仿宋" w:eastAsia="仿宋"/>
          <w:color w:val="000000" w:themeColor="text1"/>
          <w:sz w:val="24"/>
          <w:szCs w:val="24"/>
          <w14:textFill>
            <w14:solidFill>
              <w14:schemeClr w14:val="tx1"/>
            </w14:solidFill>
          </w14:textFill>
        </w:rPr>
        <w:t>月</w:t>
      </w:r>
      <w:r>
        <w:rPr>
          <w:rFonts w:ascii="Arial" w:hAnsi="Arial" w:cs="Arial"/>
          <w:color w:val="000000" w:themeColor="text1"/>
          <w:sz w:val="24"/>
          <w:szCs w:val="24"/>
          <w:lang w:val="mn-MN"/>
          <w14:textFill>
            <w14:solidFill>
              <w14:schemeClr w14:val="tx1"/>
            </w14:solidFill>
          </w14:textFill>
        </w:rPr>
        <w:t>сар</w:t>
      </w:r>
      <w:r>
        <w:rPr>
          <w:rFonts w:hint="eastAsia" w:ascii="微软雅黑" w:hAnsi="微软雅黑" w:eastAsia="微软雅黑" w:cs="微软雅黑"/>
          <w:color w:val="000000" w:themeColor="text1"/>
          <w:sz w:val="24"/>
          <w:szCs w:val="24"/>
          <w14:textFill>
            <w14:solidFill>
              <w14:schemeClr w14:val="tx1"/>
            </w14:solidFill>
          </w14:textFill>
        </w:rPr>
        <w:t>　</w:t>
      </w: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191" w:bottom="1440" w:left="1191" w:header="851" w:footer="992"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汉仪大宋简">
    <w:altName w:val="宋体"/>
    <w:panose1 w:val="00000000000000000000"/>
    <w:charset w:val="86"/>
    <w:family w:val="modern"/>
    <w:pitch w:val="default"/>
    <w:sig w:usb0="00000000" w:usb1="00000000" w:usb2="00000012" w:usb3="00000000" w:csb0="00040000" w:csb1="00000000"/>
  </w:font>
  <w:font w:name="EU-F1">
    <w:altName w:val="微软雅黑"/>
    <w:panose1 w:val="00000000000000000000"/>
    <w:charset w:val="86"/>
    <w:family w:val="script"/>
    <w:pitch w:val="default"/>
    <w:sig w:usb0="00000000" w:usb1="00000000" w:usb2="00000010" w:usb3="00000000" w:csb0="00040000" w:csb1="00000000"/>
  </w:font>
  <w:font w:name="華康楷書體W5(P)">
    <w:altName w:val="楷体_GB2312"/>
    <w:panose1 w:val="00000000000000000000"/>
    <w:charset w:val="88"/>
    <w:family w:val="script"/>
    <w:pitch w:val="default"/>
    <w:sig w:usb0="00000000" w:usb1="00000000" w:usb2="00000016" w:usb3="00000000" w:csb0="00100001" w:csb1="00000000"/>
  </w:font>
  <w:font w:name="華康楷書體W5">
    <w:altName w:val="楷体_GB2312"/>
    <w:panose1 w:val="00000000000000000000"/>
    <w:charset w:val="88"/>
    <w:family w:val="script"/>
    <w:pitch w:val="default"/>
    <w:sig w:usb0="00000000" w:usb1="00000000" w:usb2="00000016" w:usb3="00000000" w:csb0="001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1205323"/>
                          </w:sdtPr>
                          <w:sdtContent>
                            <w:p>
                              <w:pPr>
                                <w:pStyle w:val="56"/>
                                <w:jc w:val="center"/>
                              </w:pPr>
                              <w:r>
                                <w:fldChar w:fldCharType="begin"/>
                              </w:r>
                              <w:r>
                                <w:instrText xml:space="preserve">PAGE   \* MERGEFORMAT</w:instrText>
                              </w:r>
                              <w:r>
                                <w:fldChar w:fldCharType="separate"/>
                              </w:r>
                              <w:r>
                                <w:rPr>
                                  <w:lang w:val="zh-CN"/>
                                </w:rPr>
                                <w:t>32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811205323"/>
                    </w:sdtPr>
                    <w:sdtContent>
                      <w:p>
                        <w:pPr>
                          <w:pStyle w:val="56"/>
                          <w:jc w:val="center"/>
                        </w:pPr>
                        <w:r>
                          <w:fldChar w:fldCharType="begin"/>
                        </w:r>
                        <w:r>
                          <w:instrText xml:space="preserve">PAGE   \* MERGEFORMAT</w:instrText>
                        </w:r>
                        <w:r>
                          <w:fldChar w:fldCharType="separate"/>
                        </w:r>
                        <w:r>
                          <w:rPr>
                            <w:lang w:val="zh-CN"/>
                          </w:rPr>
                          <w:t>32</w:t>
                        </w:r>
                        <w:r>
                          <w:fldChar w:fldCharType="end"/>
                        </w:r>
                      </w:p>
                    </w:sdtContent>
                  </w:sdt>
                  <w:p/>
                </w:txbxContent>
              </v:textbox>
            </v:shape>
          </w:pict>
        </mc:Fallback>
      </mc:AlternateContent>
    </w:r>
  </w:p>
  <w:p>
    <w:pPr>
      <w:pStyle w:val="5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rPr>
        <w:lang w:val="mn-M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6697958"/>
                          </w:sdtPr>
                          <w:sdtContent>
                            <w:p>
                              <w:pPr>
                                <w:pStyle w:val="56"/>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76697958"/>
                    </w:sdtPr>
                    <w:sdtContent>
                      <w:p>
                        <w:pPr>
                          <w:pStyle w:val="56"/>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6"/>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480" w:firstLine="72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ind w:firstLine="723"/>
                            <w:jc w:val="center"/>
                          </w:pPr>
                          <w:r>
                            <w:fldChar w:fldCharType="begin"/>
                          </w:r>
                          <w:r>
                            <w:instrText xml:space="preserve"> PAGE   \* MERGEFORMAT </w:instrText>
                          </w:r>
                          <w:r>
                            <w:fldChar w:fldCharType="separate"/>
                          </w:r>
                          <w:r>
                            <w:rPr>
                              <w:lang w:val="zh-CN"/>
                            </w:rPr>
                            <w:t>55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6"/>
                      <w:ind w:firstLine="723"/>
                      <w:jc w:val="center"/>
                    </w:pPr>
                    <w:r>
                      <w:fldChar w:fldCharType="begin"/>
                    </w:r>
                    <w:r>
                      <w:instrText xml:space="preserve"> PAGE   \* MERGEFORMAT </w:instrText>
                    </w:r>
                    <w:r>
                      <w:fldChar w:fldCharType="separate"/>
                    </w:r>
                    <w:r>
                      <w:rPr>
                        <w:lang w:val="zh-CN"/>
                      </w:rPr>
                      <w:t>55</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line="300" w:lineRule="exact"/>
      <w:jc w:val="center"/>
      <w:rPr>
        <w:rFonts w:ascii="宋体" w:hAnsi="宋体"/>
        <w:b/>
        <w:spacing w:val="50"/>
        <w:sz w:val="36"/>
        <w:szCs w:val="36"/>
      </w:rPr>
    </w:pPr>
    <w:r>
      <w:drawing>
        <wp:anchor distT="0" distB="0" distL="114300" distR="114300" simplePos="0" relativeHeight="251661312" behindDoc="0" locked="0" layoutInCell="1" allowOverlap="1">
          <wp:simplePos x="0" y="0"/>
          <wp:positionH relativeFrom="column">
            <wp:posOffset>-334645</wp:posOffset>
          </wp:positionH>
          <wp:positionV relativeFrom="paragraph">
            <wp:posOffset>-114300</wp:posOffset>
          </wp:positionV>
          <wp:extent cx="793750" cy="650240"/>
          <wp:effectExtent l="0" t="0" r="6350" b="1651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93750" cy="650240"/>
                  </a:xfrm>
                  <a:prstGeom prst="rect">
                    <a:avLst/>
                  </a:prstGeom>
                  <a:noFill/>
                  <a:ln>
                    <a:noFill/>
                  </a:ln>
                </pic:spPr>
              </pic:pic>
            </a:graphicData>
          </a:graphic>
        </wp:anchor>
      </w:drawing>
    </w:r>
    <w:r>
      <w:rPr>
        <w:rFonts w:hint="eastAsia" w:ascii="宋体" w:hAnsi="宋体"/>
        <w:b/>
        <w:spacing w:val="50"/>
        <w:sz w:val="28"/>
        <w:szCs w:val="28"/>
      </w:rPr>
      <w:t>新鑫有限责任公司</w:t>
    </w:r>
  </w:p>
  <w:p>
    <w:pPr>
      <w:widowControl/>
      <w:ind w:firstLine="3614" w:firstLineChars="1500"/>
      <w:textAlignment w:val="center"/>
    </w:pPr>
    <w:r>
      <w:rPr>
        <w:b/>
        <w:bCs/>
        <w:color w:val="000000"/>
        <w:kern w:val="0"/>
        <w:sz w:val="24"/>
        <w:lang w:bidi="ar"/>
      </w:rPr>
      <w:t>Шинь Шинь</w:t>
    </w:r>
    <w:r>
      <w:rPr>
        <w:b/>
        <w:bCs/>
        <w:color w:val="000000"/>
        <w:kern w:val="0"/>
        <w:sz w:val="24"/>
        <w:cs/>
        <w:lang w:val="mn-MN" w:bidi="ar"/>
      </w:rPr>
      <w:t xml:space="preserve"> </w:t>
    </w:r>
    <w:r>
      <w:rPr>
        <w:b/>
        <w:bCs/>
        <w:color w:val="000000"/>
        <w:kern w:val="0"/>
        <w:sz w:val="24"/>
        <w:lang w:bidi="ar"/>
      </w:rPr>
      <w:t>ХХК</w:t>
    </w:r>
  </w:p>
  <w:p>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left="480" w:firstLine="7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F30C9"/>
    <w:multiLevelType w:val="multilevel"/>
    <w:tmpl w:val="823F30C9"/>
    <w:lvl w:ilvl="0" w:tentative="0">
      <w:start w:val="3"/>
      <w:numFmt w:val="decimal"/>
      <w:lvlText w:val="%1."/>
      <w:lvlJc w:val="left"/>
      <w:pPr>
        <w:ind w:left="390" w:hanging="390"/>
      </w:pPr>
      <w:rPr>
        <w:rFonts w:hint="default" w:ascii="Times New Roman" w:hAnsi="Times New Roman" w:eastAsia="Calibri" w:cs="Times New Roman"/>
        <w:b w:val="0"/>
      </w:rPr>
    </w:lvl>
    <w:lvl w:ilvl="1" w:tentative="0">
      <w:start w:val="2"/>
      <w:numFmt w:val="decimal"/>
      <w:lvlText w:val="%1.%2."/>
      <w:lvlJc w:val="left"/>
      <w:pPr>
        <w:ind w:left="720" w:hanging="720"/>
      </w:pPr>
      <w:rPr>
        <w:rFonts w:hint="default" w:ascii="Times New Roman" w:hAnsi="Times New Roman" w:eastAsia="Calibri" w:cs="Times New Roman"/>
        <w:b w:val="0"/>
      </w:rPr>
    </w:lvl>
    <w:lvl w:ilvl="2" w:tentative="0">
      <w:start w:val="1"/>
      <w:numFmt w:val="decimal"/>
      <w:lvlText w:val="%1.%2.%3."/>
      <w:lvlJc w:val="left"/>
      <w:pPr>
        <w:ind w:left="720" w:hanging="720"/>
      </w:pPr>
      <w:rPr>
        <w:rFonts w:hint="default" w:ascii="Times New Roman" w:hAnsi="Times New Roman" w:eastAsia="Calibri" w:cs="Times New Roman"/>
        <w:b w:val="0"/>
      </w:rPr>
    </w:lvl>
    <w:lvl w:ilvl="3" w:tentative="0">
      <w:start w:val="1"/>
      <w:numFmt w:val="decimal"/>
      <w:lvlText w:val="%1.%2.%3.%4."/>
      <w:lvlJc w:val="left"/>
      <w:pPr>
        <w:ind w:left="1080" w:hanging="1080"/>
      </w:pPr>
      <w:rPr>
        <w:rFonts w:hint="default" w:ascii="Times New Roman" w:hAnsi="Times New Roman" w:eastAsia="Calibri" w:cs="Times New Roman"/>
        <w:b w:val="0"/>
      </w:rPr>
    </w:lvl>
    <w:lvl w:ilvl="4" w:tentative="0">
      <w:start w:val="1"/>
      <w:numFmt w:val="decimal"/>
      <w:lvlText w:val="%1.%2.%3.%4.%5."/>
      <w:lvlJc w:val="left"/>
      <w:pPr>
        <w:ind w:left="1080" w:hanging="1080"/>
      </w:pPr>
      <w:rPr>
        <w:rFonts w:hint="default" w:ascii="Times New Roman" w:hAnsi="Times New Roman" w:eastAsia="Calibri" w:cs="Times New Roman"/>
        <w:b w:val="0"/>
      </w:rPr>
    </w:lvl>
    <w:lvl w:ilvl="5" w:tentative="0">
      <w:start w:val="1"/>
      <w:numFmt w:val="decimal"/>
      <w:lvlText w:val="%1.%2.%3.%4.%5.%6."/>
      <w:lvlJc w:val="left"/>
      <w:pPr>
        <w:ind w:left="1440" w:hanging="1440"/>
      </w:pPr>
      <w:rPr>
        <w:rFonts w:hint="default" w:ascii="Times New Roman" w:hAnsi="Times New Roman" w:eastAsia="Calibri" w:cs="Times New Roman"/>
        <w:b w:val="0"/>
      </w:rPr>
    </w:lvl>
    <w:lvl w:ilvl="6" w:tentative="0">
      <w:start w:val="1"/>
      <w:numFmt w:val="decimal"/>
      <w:lvlText w:val="%1.%2.%3.%4.%5.%6.%7."/>
      <w:lvlJc w:val="left"/>
      <w:pPr>
        <w:ind w:left="1440" w:hanging="1440"/>
      </w:pPr>
      <w:rPr>
        <w:rFonts w:hint="default" w:ascii="Times New Roman" w:hAnsi="Times New Roman" w:eastAsia="Calibri" w:cs="Times New Roman"/>
        <w:b w:val="0"/>
      </w:rPr>
    </w:lvl>
    <w:lvl w:ilvl="7" w:tentative="0">
      <w:start w:val="1"/>
      <w:numFmt w:val="decimal"/>
      <w:lvlText w:val="%1.%2.%3.%4.%5.%6.%7.%8."/>
      <w:lvlJc w:val="left"/>
      <w:pPr>
        <w:ind w:left="1800" w:hanging="1800"/>
      </w:pPr>
      <w:rPr>
        <w:rFonts w:hint="default" w:ascii="Times New Roman" w:hAnsi="Times New Roman" w:eastAsia="Calibri" w:cs="Times New Roman"/>
        <w:b w:val="0"/>
      </w:rPr>
    </w:lvl>
    <w:lvl w:ilvl="8" w:tentative="0">
      <w:start w:val="1"/>
      <w:numFmt w:val="decimal"/>
      <w:lvlText w:val="%1.%2.%3.%4.%5.%6.%7.%8.%9."/>
      <w:lvlJc w:val="left"/>
      <w:pPr>
        <w:ind w:left="2160" w:hanging="2160"/>
      </w:pPr>
      <w:rPr>
        <w:rFonts w:hint="default" w:ascii="Times New Roman" w:hAnsi="Times New Roman" w:eastAsia="Calibri" w:cs="Times New Roman"/>
        <w:b w:val="0"/>
      </w:rPr>
    </w:lvl>
  </w:abstractNum>
  <w:abstractNum w:abstractNumId="1">
    <w:nsid w:val="8968F37F"/>
    <w:multiLevelType w:val="singleLevel"/>
    <w:tmpl w:val="8968F37F"/>
    <w:lvl w:ilvl="0" w:tentative="0">
      <w:start w:val="1"/>
      <w:numFmt w:val="decimal"/>
      <w:suff w:val="nothing"/>
      <w:lvlText w:val="（%1）"/>
      <w:lvlJc w:val="left"/>
    </w:lvl>
  </w:abstractNum>
  <w:abstractNum w:abstractNumId="2">
    <w:nsid w:val="9494A9F8"/>
    <w:multiLevelType w:val="multilevel"/>
    <w:tmpl w:val="9494A9F8"/>
    <w:lvl w:ilvl="0" w:tentative="0">
      <w:start w:val="5"/>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b w:val="0"/>
        <w:bCs/>
      </w:rPr>
    </w:lvl>
    <w:lvl w:ilvl="2" w:tentative="0">
      <w:start w:val="1"/>
      <w:numFmt w:val="decimal"/>
      <w:lvlText w:val="%1.%2.%3."/>
      <w:lvlJc w:val="left"/>
      <w:pPr>
        <w:ind w:left="1429" w:hanging="720"/>
      </w:pPr>
      <w:rPr>
        <w:rFonts w:hint="default" w:ascii="Times New Roman" w:hAnsi="Times New Roman" w:cs="Times New Roman"/>
        <w:b w:val="0"/>
        <w:bCs/>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3">
    <w:nsid w:val="AC9E1ED3"/>
    <w:multiLevelType w:val="multilevel"/>
    <w:tmpl w:val="AC9E1ED3"/>
    <w:lvl w:ilvl="0" w:tentative="0">
      <w:start w:val="8"/>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4">
    <w:nsid w:val="B0E63798"/>
    <w:multiLevelType w:val="multilevel"/>
    <w:tmpl w:val="B0E63798"/>
    <w:lvl w:ilvl="0" w:tentative="0">
      <w:start w:val="3"/>
      <w:numFmt w:val="decimal"/>
      <w:lvlText w:val="%1."/>
      <w:lvlJc w:val="left"/>
      <w:pPr>
        <w:ind w:left="400" w:hanging="400"/>
      </w:pPr>
      <w:rPr>
        <w:rFonts w:hint="default" w:ascii="Arial" w:hAnsi="Arial" w:eastAsia="宋体" w:cs="Arial"/>
      </w:rPr>
    </w:lvl>
    <w:lvl w:ilvl="1" w:tentative="0">
      <w:start w:val="1"/>
      <w:numFmt w:val="decimal"/>
      <w:lvlText w:val="%1.%2."/>
      <w:lvlJc w:val="left"/>
      <w:pPr>
        <w:ind w:left="720" w:hanging="720"/>
      </w:pPr>
      <w:rPr>
        <w:rFonts w:hint="default" w:ascii="Arial" w:hAnsi="Arial" w:eastAsia="宋体" w:cs="Arial"/>
      </w:rPr>
    </w:lvl>
    <w:lvl w:ilvl="2" w:tentative="0">
      <w:start w:val="1"/>
      <w:numFmt w:val="decimal"/>
      <w:lvlText w:val="%1.%2.%3."/>
      <w:lvlJc w:val="left"/>
      <w:pPr>
        <w:ind w:left="1429" w:hanging="720"/>
      </w:pPr>
      <w:rPr>
        <w:rFonts w:hint="default" w:ascii="Arial" w:hAnsi="Arial" w:eastAsia="宋体" w:cs="Arial"/>
      </w:rPr>
    </w:lvl>
    <w:lvl w:ilvl="3" w:tentative="0">
      <w:start w:val="1"/>
      <w:numFmt w:val="decimal"/>
      <w:lvlText w:val="%1.%2.%3.%4."/>
      <w:lvlJc w:val="left"/>
      <w:pPr>
        <w:ind w:left="1080" w:hanging="1080"/>
      </w:pPr>
      <w:rPr>
        <w:rFonts w:hint="default" w:ascii="Arial" w:hAnsi="Arial" w:eastAsia="宋体" w:cs="Arial"/>
      </w:rPr>
    </w:lvl>
    <w:lvl w:ilvl="4" w:tentative="0">
      <w:start w:val="1"/>
      <w:numFmt w:val="decimal"/>
      <w:lvlText w:val="%1.%2.%3.%4.%5."/>
      <w:lvlJc w:val="left"/>
      <w:pPr>
        <w:ind w:left="1440" w:hanging="1440"/>
      </w:pPr>
      <w:rPr>
        <w:rFonts w:hint="default" w:ascii="Arial" w:hAnsi="Arial" w:eastAsia="宋体" w:cs="Arial"/>
      </w:rPr>
    </w:lvl>
    <w:lvl w:ilvl="5" w:tentative="0">
      <w:start w:val="1"/>
      <w:numFmt w:val="decimal"/>
      <w:lvlText w:val="%1.%2.%3.%4.%5.%6."/>
      <w:lvlJc w:val="left"/>
      <w:pPr>
        <w:ind w:left="1440" w:hanging="1440"/>
      </w:pPr>
      <w:rPr>
        <w:rFonts w:hint="default" w:ascii="Arial" w:hAnsi="Arial" w:eastAsia="宋体" w:cs="Arial"/>
      </w:rPr>
    </w:lvl>
    <w:lvl w:ilvl="6" w:tentative="0">
      <w:start w:val="1"/>
      <w:numFmt w:val="decimal"/>
      <w:lvlText w:val="%1.%2.%3.%4.%5.%6.%7."/>
      <w:lvlJc w:val="left"/>
      <w:pPr>
        <w:ind w:left="1800" w:hanging="1800"/>
      </w:pPr>
      <w:rPr>
        <w:rFonts w:hint="default" w:ascii="Arial" w:hAnsi="Arial" w:eastAsia="宋体" w:cs="Arial"/>
      </w:rPr>
    </w:lvl>
    <w:lvl w:ilvl="7" w:tentative="0">
      <w:start w:val="1"/>
      <w:numFmt w:val="decimal"/>
      <w:lvlText w:val="%1.%2.%3.%4.%5.%6.%7.%8."/>
      <w:lvlJc w:val="left"/>
      <w:pPr>
        <w:ind w:left="2160" w:hanging="2160"/>
      </w:pPr>
      <w:rPr>
        <w:rFonts w:hint="default" w:ascii="Arial" w:hAnsi="Arial" w:eastAsia="宋体" w:cs="Arial"/>
      </w:rPr>
    </w:lvl>
    <w:lvl w:ilvl="8" w:tentative="0">
      <w:start w:val="1"/>
      <w:numFmt w:val="decimal"/>
      <w:lvlText w:val="%1.%2.%3.%4.%5.%6.%7.%8.%9."/>
      <w:lvlJc w:val="left"/>
      <w:pPr>
        <w:ind w:left="2160" w:hanging="2160"/>
      </w:pPr>
      <w:rPr>
        <w:rFonts w:hint="default" w:ascii="Arial" w:hAnsi="Arial" w:eastAsia="宋体" w:cs="Arial"/>
      </w:rPr>
    </w:lvl>
  </w:abstractNum>
  <w:abstractNum w:abstractNumId="5">
    <w:nsid w:val="B76D84B3"/>
    <w:multiLevelType w:val="multilevel"/>
    <w:tmpl w:val="B76D84B3"/>
    <w:lvl w:ilvl="0" w:tentative="0">
      <w:start w:val="6"/>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rPr>
    </w:lvl>
    <w:lvl w:ilvl="2" w:tentative="0">
      <w:start w:val="1"/>
      <w:numFmt w:val="decimal"/>
      <w:lvlText w:val="%1.%2.%3."/>
      <w:lvlJc w:val="left"/>
      <w:pPr>
        <w:ind w:left="1571"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6">
    <w:nsid w:val="B82FA059"/>
    <w:multiLevelType w:val="singleLevel"/>
    <w:tmpl w:val="B82FA059"/>
    <w:lvl w:ilvl="0" w:tentative="0">
      <w:start w:val="6"/>
      <w:numFmt w:val="decimal"/>
      <w:suff w:val="nothing"/>
      <w:lvlText w:val="（%1）"/>
      <w:lvlJc w:val="left"/>
    </w:lvl>
  </w:abstractNum>
  <w:abstractNum w:abstractNumId="7">
    <w:nsid w:val="D2359E4E"/>
    <w:multiLevelType w:val="multilevel"/>
    <w:tmpl w:val="D2359E4E"/>
    <w:lvl w:ilvl="0" w:tentative="0">
      <w:start w:val="1"/>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rPr>
    </w:lvl>
    <w:lvl w:ilvl="2" w:tentative="0">
      <w:start w:val="1"/>
      <w:numFmt w:val="decimalZero"/>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8">
    <w:nsid w:val="EDBFBAA1"/>
    <w:multiLevelType w:val="singleLevel"/>
    <w:tmpl w:val="EDBFBAA1"/>
    <w:lvl w:ilvl="0" w:tentative="0">
      <w:start w:val="2"/>
      <w:numFmt w:val="decimal"/>
      <w:suff w:val="nothing"/>
      <w:lvlText w:val="（%1）"/>
      <w:lvlJc w:val="left"/>
      <w:pPr>
        <w:ind w:left="150"/>
      </w:pPr>
    </w:lvl>
  </w:abstractNum>
  <w:abstractNum w:abstractNumId="9">
    <w:nsid w:val="EF23E695"/>
    <w:multiLevelType w:val="multilevel"/>
    <w:tmpl w:val="EF23E695"/>
    <w:lvl w:ilvl="0" w:tentative="0">
      <w:start w:val="2"/>
      <w:numFmt w:val="decimal"/>
      <w:lvlText w:val="%1."/>
      <w:lvlJc w:val="left"/>
      <w:pPr>
        <w:ind w:left="400" w:hanging="400"/>
      </w:pPr>
      <w:rPr>
        <w:rFonts w:hint="default" w:ascii="Arial" w:hAnsi="Arial" w:eastAsia="宋体" w:cs="Arial"/>
      </w:rPr>
    </w:lvl>
    <w:lvl w:ilvl="1" w:tentative="0">
      <w:start w:val="1"/>
      <w:numFmt w:val="decimal"/>
      <w:lvlText w:val="%1.%2."/>
      <w:lvlJc w:val="left"/>
      <w:pPr>
        <w:ind w:left="720" w:hanging="720"/>
      </w:pPr>
      <w:rPr>
        <w:rFonts w:hint="default" w:ascii="Arial" w:hAnsi="Arial" w:eastAsia="宋体" w:cs="Arial"/>
      </w:rPr>
    </w:lvl>
    <w:lvl w:ilvl="2" w:tentative="0">
      <w:start w:val="1"/>
      <w:numFmt w:val="decimal"/>
      <w:lvlText w:val="%1.%2.%3."/>
      <w:lvlJc w:val="left"/>
      <w:pPr>
        <w:ind w:left="720" w:hanging="720"/>
      </w:pPr>
      <w:rPr>
        <w:rFonts w:hint="default" w:ascii="Arial" w:hAnsi="Arial" w:eastAsia="宋体" w:cs="Arial"/>
      </w:rPr>
    </w:lvl>
    <w:lvl w:ilvl="3" w:tentative="0">
      <w:start w:val="1"/>
      <w:numFmt w:val="decimal"/>
      <w:lvlText w:val="%1.%2.%3.%4."/>
      <w:lvlJc w:val="left"/>
      <w:pPr>
        <w:ind w:left="1080" w:hanging="1080"/>
      </w:pPr>
      <w:rPr>
        <w:rFonts w:hint="default" w:ascii="Arial" w:hAnsi="Arial" w:eastAsia="宋体" w:cs="Arial"/>
      </w:rPr>
    </w:lvl>
    <w:lvl w:ilvl="4" w:tentative="0">
      <w:start w:val="1"/>
      <w:numFmt w:val="decimal"/>
      <w:lvlText w:val="%1.%2.%3.%4.%5."/>
      <w:lvlJc w:val="left"/>
      <w:pPr>
        <w:ind w:left="1440" w:hanging="1440"/>
      </w:pPr>
      <w:rPr>
        <w:rFonts w:hint="default" w:ascii="Arial" w:hAnsi="Arial" w:eastAsia="宋体" w:cs="Arial"/>
      </w:rPr>
    </w:lvl>
    <w:lvl w:ilvl="5" w:tentative="0">
      <w:start w:val="1"/>
      <w:numFmt w:val="decimal"/>
      <w:lvlText w:val="%1.%2.%3.%4.%5.%6."/>
      <w:lvlJc w:val="left"/>
      <w:pPr>
        <w:ind w:left="1440" w:hanging="1440"/>
      </w:pPr>
      <w:rPr>
        <w:rFonts w:hint="default" w:ascii="Arial" w:hAnsi="Arial" w:eastAsia="宋体" w:cs="Arial"/>
      </w:rPr>
    </w:lvl>
    <w:lvl w:ilvl="6" w:tentative="0">
      <w:start w:val="1"/>
      <w:numFmt w:val="decimal"/>
      <w:lvlText w:val="%1.%2.%3.%4.%5.%6.%7."/>
      <w:lvlJc w:val="left"/>
      <w:pPr>
        <w:ind w:left="1800" w:hanging="1800"/>
      </w:pPr>
      <w:rPr>
        <w:rFonts w:hint="default" w:ascii="Arial" w:hAnsi="Arial" w:eastAsia="宋体" w:cs="Arial"/>
      </w:rPr>
    </w:lvl>
    <w:lvl w:ilvl="7" w:tentative="0">
      <w:start w:val="1"/>
      <w:numFmt w:val="decimal"/>
      <w:lvlText w:val="%1.%2.%3.%4.%5.%6.%7.%8."/>
      <w:lvlJc w:val="left"/>
      <w:pPr>
        <w:ind w:left="2160" w:hanging="2160"/>
      </w:pPr>
      <w:rPr>
        <w:rFonts w:hint="default" w:ascii="Arial" w:hAnsi="Arial" w:eastAsia="宋体" w:cs="Arial"/>
      </w:rPr>
    </w:lvl>
    <w:lvl w:ilvl="8" w:tentative="0">
      <w:start w:val="1"/>
      <w:numFmt w:val="decimal"/>
      <w:lvlText w:val="%1.%2.%3.%4.%5.%6.%7.%8.%9."/>
      <w:lvlJc w:val="left"/>
      <w:pPr>
        <w:ind w:left="2160" w:hanging="2160"/>
      </w:pPr>
      <w:rPr>
        <w:rFonts w:hint="default" w:ascii="Arial" w:hAnsi="Arial" w:eastAsia="宋体" w:cs="Arial"/>
      </w:rPr>
    </w:lvl>
  </w:abstractNum>
  <w:abstractNum w:abstractNumId="1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1">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12">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1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14">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1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6">
    <w:nsid w:val="FFFFFF82"/>
    <w:multiLevelType w:val="singleLevel"/>
    <w:tmpl w:val="FFFFFF82"/>
    <w:lvl w:ilvl="0" w:tentative="0">
      <w:start w:val="1"/>
      <w:numFmt w:val="bullet"/>
      <w:pStyle w:val="394"/>
      <w:lvlText w:val=""/>
      <w:lvlJc w:val="left"/>
      <w:pPr>
        <w:tabs>
          <w:tab w:val="left" w:pos="1200"/>
        </w:tabs>
        <w:ind w:left="1200" w:hanging="360"/>
      </w:pPr>
      <w:rPr>
        <w:rFonts w:hint="default" w:ascii="Wingdings" w:hAnsi="Wingdings"/>
      </w:rPr>
    </w:lvl>
  </w:abstractNum>
  <w:abstractNum w:abstractNumId="17">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20">
    <w:nsid w:val="144F485C"/>
    <w:multiLevelType w:val="singleLevel"/>
    <w:tmpl w:val="144F485C"/>
    <w:lvl w:ilvl="0" w:tentative="0">
      <w:start w:val="5"/>
      <w:numFmt w:val="decimal"/>
      <w:suff w:val="nothing"/>
      <w:lvlText w:val="%1、"/>
      <w:lvlJc w:val="left"/>
    </w:lvl>
  </w:abstractNum>
  <w:abstractNum w:abstractNumId="21">
    <w:nsid w:val="1B879568"/>
    <w:multiLevelType w:val="multilevel"/>
    <w:tmpl w:val="1B879568"/>
    <w:lvl w:ilvl="0" w:tentative="0">
      <w:start w:val="2"/>
      <w:numFmt w:val="decimal"/>
      <w:lvlText w:val="%1."/>
      <w:lvlJc w:val="left"/>
      <w:pPr>
        <w:ind w:left="400" w:hanging="400"/>
      </w:pPr>
      <w:rPr>
        <w:rFonts w:hint="default" w:ascii="Times New Roman" w:hAnsi="Times New Roman" w:cs="Times New Roman"/>
        <w:b w:val="0"/>
      </w:rPr>
    </w:lvl>
    <w:lvl w:ilvl="1" w:tentative="0">
      <w:start w:val="1"/>
      <w:numFmt w:val="decimal"/>
      <w:lvlText w:val="%1.%2."/>
      <w:lvlJc w:val="left"/>
      <w:pPr>
        <w:ind w:left="720" w:hanging="720"/>
      </w:pPr>
      <w:rPr>
        <w:rFonts w:hint="default" w:ascii="Times New Roman" w:hAnsi="Times New Roman" w:cs="Times New Roman"/>
        <w:b w:val="0"/>
      </w:rPr>
    </w:lvl>
    <w:lvl w:ilvl="2" w:tentative="0">
      <w:start w:val="1"/>
      <w:numFmt w:val="decimalZero"/>
      <w:lvlText w:val="%1.%2.%3."/>
      <w:lvlJc w:val="left"/>
      <w:pPr>
        <w:ind w:left="720" w:hanging="720"/>
      </w:pPr>
      <w:rPr>
        <w:rFonts w:hint="default" w:ascii="Times New Roman" w:hAnsi="Times New Roman" w:cs="Times New Roman"/>
        <w:b w:val="0"/>
      </w:rPr>
    </w:lvl>
    <w:lvl w:ilvl="3" w:tentative="0">
      <w:start w:val="1"/>
      <w:numFmt w:val="decimal"/>
      <w:lvlText w:val="%1.%2.%3.%4."/>
      <w:lvlJc w:val="left"/>
      <w:pPr>
        <w:ind w:left="1080" w:hanging="1080"/>
      </w:pPr>
      <w:rPr>
        <w:rFonts w:hint="default" w:ascii="Times New Roman" w:hAnsi="Times New Roman" w:cs="Times New Roman"/>
        <w:b w:val="0"/>
      </w:rPr>
    </w:lvl>
    <w:lvl w:ilvl="4" w:tentative="0">
      <w:start w:val="1"/>
      <w:numFmt w:val="decimal"/>
      <w:lvlText w:val="%1.%2.%3.%4.%5."/>
      <w:lvlJc w:val="left"/>
      <w:pPr>
        <w:ind w:left="1080" w:hanging="1080"/>
      </w:pPr>
      <w:rPr>
        <w:rFonts w:hint="default" w:ascii="Times New Roman" w:hAnsi="Times New Roman" w:cs="Times New Roman"/>
        <w:b w:val="0"/>
      </w:rPr>
    </w:lvl>
    <w:lvl w:ilvl="5" w:tentative="0">
      <w:start w:val="1"/>
      <w:numFmt w:val="decimal"/>
      <w:lvlText w:val="%1.%2.%3.%4.%5.%6."/>
      <w:lvlJc w:val="left"/>
      <w:pPr>
        <w:ind w:left="1440" w:hanging="1440"/>
      </w:pPr>
      <w:rPr>
        <w:rFonts w:hint="default" w:ascii="Times New Roman" w:hAnsi="Times New Roman" w:cs="Times New Roman"/>
        <w:b w:val="0"/>
      </w:rPr>
    </w:lvl>
    <w:lvl w:ilvl="6" w:tentative="0">
      <w:start w:val="1"/>
      <w:numFmt w:val="decimal"/>
      <w:lvlText w:val="%1.%2.%3.%4.%5.%6.%7."/>
      <w:lvlJc w:val="left"/>
      <w:pPr>
        <w:ind w:left="1440" w:hanging="1440"/>
      </w:pPr>
      <w:rPr>
        <w:rFonts w:hint="default" w:ascii="Times New Roman" w:hAnsi="Times New Roman" w:cs="Times New Roman"/>
        <w:b w:val="0"/>
      </w:rPr>
    </w:lvl>
    <w:lvl w:ilvl="7" w:tentative="0">
      <w:start w:val="1"/>
      <w:numFmt w:val="decimal"/>
      <w:lvlText w:val="%1.%2.%3.%4.%5.%6.%7.%8."/>
      <w:lvlJc w:val="left"/>
      <w:pPr>
        <w:ind w:left="1800" w:hanging="1800"/>
      </w:pPr>
      <w:rPr>
        <w:rFonts w:hint="default" w:ascii="Times New Roman" w:hAnsi="Times New Roman" w:cs="Times New Roman"/>
        <w:b w:val="0"/>
      </w:rPr>
    </w:lvl>
    <w:lvl w:ilvl="8" w:tentative="0">
      <w:start w:val="1"/>
      <w:numFmt w:val="decimal"/>
      <w:lvlText w:val="%1.%2.%3.%4.%5.%6.%7.%8.%9."/>
      <w:lvlJc w:val="left"/>
      <w:pPr>
        <w:ind w:left="2160" w:hanging="2160"/>
      </w:pPr>
      <w:rPr>
        <w:rFonts w:hint="default" w:ascii="Times New Roman" w:hAnsi="Times New Roman" w:cs="Times New Roman"/>
        <w:b w:val="0"/>
      </w:rPr>
    </w:lvl>
  </w:abstractNum>
  <w:abstractNum w:abstractNumId="22">
    <w:nsid w:val="284A6614"/>
    <w:multiLevelType w:val="multilevel"/>
    <w:tmpl w:val="284A6614"/>
    <w:lvl w:ilvl="0" w:tentative="0">
      <w:start w:val="0"/>
      <w:numFmt w:val="decimal"/>
      <w:pStyle w:val="182"/>
      <w:lvlText w:val="%1"/>
      <w:lvlJc w:val="left"/>
      <w:pPr>
        <w:tabs>
          <w:tab w:val="left" w:pos="397"/>
        </w:tabs>
        <w:ind w:left="397" w:hanging="397"/>
      </w:pPr>
      <w:rPr>
        <w:rFonts w:hint="eastAsia" w:ascii="宋体" w:eastAsia="宋体"/>
        <w:b w:val="0"/>
        <w:i w:val="0"/>
        <w:sz w:val="28"/>
      </w:rPr>
    </w:lvl>
    <w:lvl w:ilvl="1" w:tentative="0">
      <w:start w:val="1"/>
      <w:numFmt w:val="decimal"/>
      <w:lvlText w:val="%1.%2"/>
      <w:lvlJc w:val="left"/>
      <w:pPr>
        <w:tabs>
          <w:tab w:val="left" w:pos="680"/>
        </w:tabs>
        <w:ind w:left="680" w:hanging="680"/>
      </w:pPr>
      <w:rPr>
        <w:rFonts w:hint="eastAsia" w:ascii="宋体" w:eastAsia="宋体"/>
        <w:b w:val="0"/>
        <w:i w:val="0"/>
        <w:sz w:val="28"/>
      </w:rPr>
    </w:lvl>
    <w:lvl w:ilvl="2" w:tentative="0">
      <w:start w:val="1"/>
      <w:numFmt w:val="decimal"/>
      <w:lvlText w:val="%1.%2.%3"/>
      <w:lvlJc w:val="left"/>
      <w:pPr>
        <w:tabs>
          <w:tab w:val="left" w:pos="964"/>
        </w:tabs>
        <w:ind w:left="964" w:hanging="964"/>
      </w:pPr>
      <w:rPr>
        <w:rFonts w:hint="eastAsia" w:ascii="宋体" w:eastAsia="宋体"/>
        <w:b w:val="0"/>
        <w:i w:val="0"/>
        <w:sz w:val="28"/>
      </w:rPr>
    </w:lvl>
    <w:lvl w:ilvl="3" w:tentative="0">
      <w:start w:val="1"/>
      <w:numFmt w:val="decimal"/>
      <w:lvlText w:val="%1.%2.%3.%4"/>
      <w:lvlJc w:val="left"/>
      <w:pPr>
        <w:tabs>
          <w:tab w:val="left" w:pos="1134"/>
        </w:tabs>
        <w:ind w:left="1134" w:hanging="1134"/>
      </w:pPr>
      <w:rPr>
        <w:rFonts w:hint="eastAsia" w:ascii="宋体" w:eastAsia="宋体"/>
        <w:b w:val="0"/>
        <w:i w:val="0"/>
        <w:sz w:val="28"/>
      </w:rPr>
    </w:lvl>
    <w:lvl w:ilvl="4" w:tentative="0">
      <w:start w:val="1"/>
      <w:numFmt w:val="decimal"/>
      <w:lvlText w:val="%1.%2.%3.%4.%5"/>
      <w:lvlJc w:val="left"/>
      <w:pPr>
        <w:tabs>
          <w:tab w:val="left" w:pos="1191"/>
        </w:tabs>
        <w:ind w:left="1191" w:hanging="1191"/>
      </w:pPr>
      <w:rPr>
        <w:rFonts w:hint="eastAsia"/>
      </w:rPr>
    </w:lvl>
    <w:lvl w:ilvl="5" w:tentative="0">
      <w:start w:val="1"/>
      <w:numFmt w:val="decimal"/>
      <w:lvlText w:val="%1.%2.%3.%4.%5.%6"/>
      <w:lvlJc w:val="left"/>
      <w:pPr>
        <w:tabs>
          <w:tab w:val="left" w:pos="1440"/>
        </w:tabs>
        <w:ind w:left="567" w:hanging="567"/>
      </w:pPr>
      <w:rPr>
        <w:rFonts w:hint="eastAsia"/>
      </w:rPr>
    </w:lvl>
    <w:lvl w:ilvl="6" w:tentative="0">
      <w:start w:val="1"/>
      <w:numFmt w:val="decimal"/>
      <w:lvlText w:val="%1.%2.%3.%4.%5.%6.%7"/>
      <w:lvlJc w:val="left"/>
      <w:pPr>
        <w:tabs>
          <w:tab w:val="left" w:pos="1440"/>
        </w:tabs>
        <w:ind w:left="567" w:hanging="567"/>
      </w:pPr>
      <w:rPr>
        <w:rFonts w:hint="eastAsia"/>
      </w:rPr>
    </w:lvl>
    <w:lvl w:ilvl="7" w:tentative="0">
      <w:start w:val="1"/>
      <w:numFmt w:val="decimal"/>
      <w:lvlText w:val="%1.%2.%3.%4.%5.%6.%7.%8"/>
      <w:lvlJc w:val="left"/>
      <w:pPr>
        <w:tabs>
          <w:tab w:val="left" w:pos="1800"/>
        </w:tabs>
        <w:ind w:left="567" w:hanging="567"/>
      </w:pPr>
      <w:rPr>
        <w:rFonts w:hint="eastAsia"/>
      </w:rPr>
    </w:lvl>
    <w:lvl w:ilvl="8" w:tentative="0">
      <w:start w:val="1"/>
      <w:numFmt w:val="decimal"/>
      <w:lvlText w:val="%1.%2.%3.%4.%5.%6.%7.%8.%9"/>
      <w:lvlJc w:val="left"/>
      <w:pPr>
        <w:tabs>
          <w:tab w:val="left" w:pos="2160"/>
        </w:tabs>
        <w:ind w:left="567" w:hanging="567"/>
      </w:pPr>
      <w:rPr>
        <w:rFonts w:hint="eastAsia"/>
      </w:rPr>
    </w:lvl>
  </w:abstractNum>
  <w:abstractNum w:abstractNumId="23">
    <w:nsid w:val="2FE26FFA"/>
    <w:multiLevelType w:val="singleLevel"/>
    <w:tmpl w:val="2FE26FFA"/>
    <w:lvl w:ilvl="0" w:tentative="0">
      <w:start w:val="1"/>
      <w:numFmt w:val="upperLetter"/>
      <w:suff w:val="space"/>
      <w:lvlText w:val="%1."/>
      <w:lvlJc w:val="left"/>
    </w:lvl>
  </w:abstractNum>
  <w:abstractNum w:abstractNumId="24">
    <w:nsid w:val="3697331F"/>
    <w:multiLevelType w:val="singleLevel"/>
    <w:tmpl w:val="3697331F"/>
    <w:lvl w:ilvl="0" w:tentative="0">
      <w:start w:val="1"/>
      <w:numFmt w:val="decimal"/>
      <w:suff w:val="nothing"/>
      <w:lvlText w:val="（%1）"/>
      <w:lvlJc w:val="left"/>
    </w:lvl>
  </w:abstractNum>
  <w:abstractNum w:abstractNumId="25">
    <w:nsid w:val="4039B9CA"/>
    <w:multiLevelType w:val="multilevel"/>
    <w:tmpl w:val="4039B9CA"/>
    <w:lvl w:ilvl="0" w:tentative="0">
      <w:start w:val="4"/>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b/>
        <w:bCs w:val="0"/>
      </w:rPr>
    </w:lvl>
    <w:lvl w:ilvl="2" w:tentative="0">
      <w:start w:val="1"/>
      <w:numFmt w:val="decimal"/>
      <w:lvlText w:val="%1.%2.%3."/>
      <w:lvlJc w:val="left"/>
      <w:pPr>
        <w:ind w:left="1429"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26">
    <w:nsid w:val="41D71BAE"/>
    <w:multiLevelType w:val="multilevel"/>
    <w:tmpl w:val="41D71BAE"/>
    <w:lvl w:ilvl="0" w:tentative="0">
      <w:start w:val="1"/>
      <w:numFmt w:val="decimal"/>
      <w:lvlText w:val="（%1）"/>
      <w:lvlJc w:val="left"/>
      <w:pPr>
        <w:ind w:left="720" w:hanging="72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8884ACD"/>
    <w:multiLevelType w:val="multilevel"/>
    <w:tmpl w:val="48884ACD"/>
    <w:lvl w:ilvl="0" w:tentative="0">
      <w:start w:val="1"/>
      <w:numFmt w:val="decimal"/>
      <w:pStyle w:val="278"/>
      <w:lvlText w:val="%1、"/>
      <w:lvlJc w:val="left"/>
      <w:pPr>
        <w:ind w:left="624" w:hanging="384"/>
      </w:pPr>
      <w:rPr>
        <w:rFonts w:hint="default"/>
        <w:b/>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28">
    <w:nsid w:val="4E9815B5"/>
    <w:multiLevelType w:val="multilevel"/>
    <w:tmpl w:val="4E9815B5"/>
    <w:lvl w:ilvl="0" w:tentative="0">
      <w:start w:val="1"/>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29">
    <w:nsid w:val="578B24EC"/>
    <w:multiLevelType w:val="singleLevel"/>
    <w:tmpl w:val="578B24EC"/>
    <w:lvl w:ilvl="0" w:tentative="0">
      <w:start w:val="1"/>
      <w:numFmt w:val="decimal"/>
      <w:lvlText w:val="（%1）"/>
      <w:lvlJc w:val="left"/>
      <w:pPr>
        <w:tabs>
          <w:tab w:val="left" w:pos="1260"/>
        </w:tabs>
        <w:ind w:left="1260" w:hanging="705"/>
      </w:pPr>
    </w:lvl>
  </w:abstractNum>
  <w:abstractNum w:abstractNumId="30">
    <w:nsid w:val="5F802B25"/>
    <w:multiLevelType w:val="singleLevel"/>
    <w:tmpl w:val="5F802B25"/>
    <w:lvl w:ilvl="0" w:tentative="0">
      <w:start w:val="1"/>
      <w:numFmt w:val="decimal"/>
      <w:suff w:val="space"/>
      <w:lvlText w:val="%1."/>
      <w:lvlJc w:val="left"/>
    </w:lvl>
  </w:abstractNum>
  <w:abstractNum w:abstractNumId="31">
    <w:nsid w:val="63E32EC6"/>
    <w:multiLevelType w:val="multilevel"/>
    <w:tmpl w:val="63E32EC6"/>
    <w:lvl w:ilvl="0" w:tentative="0">
      <w:start w:val="3"/>
      <w:numFmt w:val="decimal"/>
      <w:lvlText w:val="%1."/>
      <w:lvlJc w:val="left"/>
      <w:pPr>
        <w:ind w:left="400" w:hanging="400"/>
      </w:pPr>
      <w:rPr>
        <w:rFonts w:hint="default" w:ascii="Times New Roman" w:hAnsi="Times New Roman" w:cs="Times New Roman"/>
        <w:b w:val="0"/>
      </w:rPr>
    </w:lvl>
    <w:lvl w:ilvl="1" w:tentative="0">
      <w:start w:val="1"/>
      <w:numFmt w:val="decimal"/>
      <w:lvlText w:val="%1.%2."/>
      <w:lvlJc w:val="left"/>
      <w:pPr>
        <w:ind w:left="720" w:hanging="720"/>
      </w:pPr>
      <w:rPr>
        <w:rFonts w:hint="default" w:ascii="Times New Roman" w:hAnsi="Times New Roman" w:cs="Times New Roman"/>
        <w:b w:val="0"/>
      </w:rPr>
    </w:lvl>
    <w:lvl w:ilvl="2" w:tentative="0">
      <w:start w:val="1"/>
      <w:numFmt w:val="decimal"/>
      <w:lvlText w:val="%1.%2.%3."/>
      <w:lvlJc w:val="left"/>
      <w:pPr>
        <w:ind w:left="720" w:hanging="720"/>
      </w:pPr>
      <w:rPr>
        <w:rFonts w:hint="default" w:ascii="Times New Roman" w:hAnsi="Times New Roman" w:cs="Times New Roman"/>
        <w:b w:val="0"/>
      </w:rPr>
    </w:lvl>
    <w:lvl w:ilvl="3" w:tentative="0">
      <w:start w:val="1"/>
      <w:numFmt w:val="decimal"/>
      <w:lvlText w:val="%1.%2.%3.%4."/>
      <w:lvlJc w:val="left"/>
      <w:pPr>
        <w:ind w:left="1080" w:hanging="1080"/>
      </w:pPr>
      <w:rPr>
        <w:rFonts w:hint="default" w:ascii="Times New Roman" w:hAnsi="Times New Roman" w:cs="Times New Roman"/>
        <w:b w:val="0"/>
      </w:rPr>
    </w:lvl>
    <w:lvl w:ilvl="4" w:tentative="0">
      <w:start w:val="1"/>
      <w:numFmt w:val="decimal"/>
      <w:lvlText w:val="%1.%2.%3.%4.%5."/>
      <w:lvlJc w:val="left"/>
      <w:pPr>
        <w:ind w:left="1080" w:hanging="1080"/>
      </w:pPr>
      <w:rPr>
        <w:rFonts w:hint="default" w:ascii="Times New Roman" w:hAnsi="Times New Roman" w:cs="Times New Roman"/>
        <w:b w:val="0"/>
      </w:rPr>
    </w:lvl>
    <w:lvl w:ilvl="5" w:tentative="0">
      <w:start w:val="1"/>
      <w:numFmt w:val="decimal"/>
      <w:lvlText w:val="%1.%2.%3.%4.%5.%6."/>
      <w:lvlJc w:val="left"/>
      <w:pPr>
        <w:ind w:left="1440" w:hanging="1440"/>
      </w:pPr>
      <w:rPr>
        <w:rFonts w:hint="default" w:ascii="Times New Roman" w:hAnsi="Times New Roman" w:cs="Times New Roman"/>
        <w:b w:val="0"/>
      </w:rPr>
    </w:lvl>
    <w:lvl w:ilvl="6" w:tentative="0">
      <w:start w:val="1"/>
      <w:numFmt w:val="decimal"/>
      <w:lvlText w:val="%1.%2.%3.%4.%5.%6.%7."/>
      <w:lvlJc w:val="left"/>
      <w:pPr>
        <w:ind w:left="1440" w:hanging="1440"/>
      </w:pPr>
      <w:rPr>
        <w:rFonts w:hint="default" w:ascii="Times New Roman" w:hAnsi="Times New Roman" w:cs="Times New Roman"/>
        <w:b w:val="0"/>
      </w:rPr>
    </w:lvl>
    <w:lvl w:ilvl="7" w:tentative="0">
      <w:start w:val="1"/>
      <w:numFmt w:val="decimal"/>
      <w:lvlText w:val="%1.%2.%3.%4.%5.%6.%7.%8."/>
      <w:lvlJc w:val="left"/>
      <w:pPr>
        <w:ind w:left="1800" w:hanging="1800"/>
      </w:pPr>
      <w:rPr>
        <w:rFonts w:hint="default" w:ascii="Times New Roman" w:hAnsi="Times New Roman" w:cs="Times New Roman"/>
        <w:b w:val="0"/>
      </w:rPr>
    </w:lvl>
    <w:lvl w:ilvl="8" w:tentative="0">
      <w:start w:val="1"/>
      <w:numFmt w:val="decimal"/>
      <w:lvlText w:val="%1.%2.%3.%4.%5.%6.%7.%8.%9."/>
      <w:lvlJc w:val="left"/>
      <w:pPr>
        <w:ind w:left="2160" w:hanging="2160"/>
      </w:pPr>
      <w:rPr>
        <w:rFonts w:hint="default" w:ascii="Times New Roman" w:hAnsi="Times New Roman" w:cs="Times New Roman"/>
        <w:b w:val="0"/>
      </w:rPr>
    </w:lvl>
  </w:abstractNum>
  <w:abstractNum w:abstractNumId="32">
    <w:nsid w:val="65878AA0"/>
    <w:multiLevelType w:val="singleLevel"/>
    <w:tmpl w:val="65878AA0"/>
    <w:lvl w:ilvl="0" w:tentative="0">
      <w:start w:val="1"/>
      <w:numFmt w:val="decimal"/>
      <w:suff w:val="space"/>
      <w:lvlText w:val="%1."/>
      <w:lvlJc w:val="left"/>
    </w:lvl>
  </w:abstractNum>
  <w:abstractNum w:abstractNumId="33">
    <w:nsid w:val="69E6B66C"/>
    <w:multiLevelType w:val="multilevel"/>
    <w:tmpl w:val="69E6B66C"/>
    <w:lvl w:ilvl="0" w:tentative="0">
      <w:start w:val="7"/>
      <w:numFmt w:val="decimal"/>
      <w:lvlText w:val="%1."/>
      <w:lvlJc w:val="left"/>
      <w:pPr>
        <w:ind w:left="400" w:hanging="400"/>
      </w:pPr>
      <w:rPr>
        <w:rFonts w:hint="default" w:ascii="Times New Roman" w:hAnsi="Times New Roman" w:cs="Times New Roman"/>
      </w:rPr>
    </w:lvl>
    <w:lvl w:ilvl="1" w:tentative="0">
      <w:start w:val="1"/>
      <w:numFmt w:val="decimal"/>
      <w:lvlText w:val="%1.%2."/>
      <w:lvlJc w:val="left"/>
      <w:pPr>
        <w:ind w:left="720" w:hanging="7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2160" w:hanging="2160"/>
      </w:pPr>
      <w:rPr>
        <w:rFonts w:hint="default" w:ascii="Times New Roman" w:hAnsi="Times New Roman" w:cs="Times New Roman"/>
      </w:rPr>
    </w:lvl>
  </w:abstractNum>
  <w:abstractNum w:abstractNumId="34">
    <w:nsid w:val="6CA4220A"/>
    <w:multiLevelType w:val="singleLevel"/>
    <w:tmpl w:val="6CA4220A"/>
    <w:lvl w:ilvl="0" w:tentative="0">
      <w:start w:val="1"/>
      <w:numFmt w:val="upperLetter"/>
      <w:pStyle w:val="4"/>
      <w:lvlText w:val="%1、"/>
      <w:lvlJc w:val="left"/>
      <w:pPr>
        <w:tabs>
          <w:tab w:val="left" w:pos="960"/>
        </w:tabs>
        <w:ind w:left="960" w:hanging="420"/>
      </w:pPr>
    </w:lvl>
  </w:abstractNum>
  <w:abstractNum w:abstractNumId="35">
    <w:nsid w:val="737CDF7B"/>
    <w:multiLevelType w:val="singleLevel"/>
    <w:tmpl w:val="737CDF7B"/>
    <w:lvl w:ilvl="0" w:tentative="0">
      <w:start w:val="1"/>
      <w:numFmt w:val="decimal"/>
      <w:suff w:val="space"/>
      <w:lvlText w:val="%1."/>
      <w:lvlJc w:val="left"/>
    </w:lvl>
  </w:abstractNum>
  <w:abstractNum w:abstractNumId="36">
    <w:nsid w:val="73AE1B17"/>
    <w:multiLevelType w:val="singleLevel"/>
    <w:tmpl w:val="73AE1B17"/>
    <w:lvl w:ilvl="0" w:tentative="0">
      <w:start w:val="2"/>
      <w:numFmt w:val="decimal"/>
      <w:suff w:val="nothing"/>
      <w:lvlText w:val="（%1）"/>
      <w:lvlJc w:val="left"/>
    </w:lvl>
  </w:abstractNum>
  <w:num w:numId="1">
    <w:abstractNumId w:val="34"/>
  </w:num>
  <w:num w:numId="2">
    <w:abstractNumId w:val="13"/>
  </w:num>
  <w:num w:numId="3">
    <w:abstractNumId w:val="15"/>
  </w:num>
  <w:num w:numId="4">
    <w:abstractNumId w:val="18"/>
  </w:num>
  <w:num w:numId="5">
    <w:abstractNumId w:val="19"/>
  </w:num>
  <w:num w:numId="6">
    <w:abstractNumId w:val="12"/>
  </w:num>
  <w:num w:numId="7">
    <w:abstractNumId w:val="17"/>
  </w:num>
  <w:num w:numId="8">
    <w:abstractNumId w:val="14"/>
  </w:num>
  <w:num w:numId="9">
    <w:abstractNumId w:val="11"/>
  </w:num>
  <w:num w:numId="10">
    <w:abstractNumId w:val="10"/>
  </w:num>
  <w:num w:numId="11">
    <w:abstractNumId w:val="22"/>
  </w:num>
  <w:num w:numId="12">
    <w:abstractNumId w:val="27"/>
  </w:num>
  <w:num w:numId="13">
    <w:abstractNumId w:val="16"/>
  </w:num>
  <w:num w:numId="14">
    <w:abstractNumId w:val="35"/>
  </w:num>
  <w:num w:numId="15">
    <w:abstractNumId w:val="20"/>
  </w:num>
  <w:num w:numId="16">
    <w:abstractNumId w:val="23"/>
  </w:num>
  <w:num w:numId="17">
    <w:abstractNumId w:val="30"/>
  </w:num>
  <w:num w:numId="18">
    <w:abstractNumId w:val="8"/>
  </w:num>
  <w:num w:numId="19">
    <w:abstractNumId w:val="24"/>
  </w:num>
  <w:num w:numId="20">
    <w:abstractNumId w:val="36"/>
  </w:num>
  <w:num w:numId="21">
    <w:abstractNumId w:val="26"/>
  </w:num>
  <w:num w:numId="22">
    <w:abstractNumId w:val="1"/>
  </w:num>
  <w:num w:numId="23">
    <w:abstractNumId w:val="32"/>
  </w:num>
  <w:num w:numId="24">
    <w:abstractNumId w:val="29"/>
    <w:lvlOverride w:ilvl="0">
      <w:startOverride w:val="1"/>
    </w:lvlOverride>
  </w:num>
  <w:num w:numId="25">
    <w:abstractNumId w:val="6"/>
  </w:num>
  <w:num w:numId="26">
    <w:abstractNumId w:val="7"/>
  </w:num>
  <w:num w:numId="27">
    <w:abstractNumId w:val="21"/>
  </w:num>
  <w:num w:numId="28">
    <w:abstractNumId w:val="31"/>
  </w:num>
  <w:num w:numId="29">
    <w:abstractNumId w:val="0"/>
  </w:num>
  <w:num w:numId="30">
    <w:abstractNumId w:val="25"/>
  </w:num>
  <w:num w:numId="31">
    <w:abstractNumId w:val="2"/>
  </w:num>
  <w:num w:numId="32">
    <w:abstractNumId w:val="5"/>
  </w:num>
  <w:num w:numId="33">
    <w:abstractNumId w:val="33"/>
  </w:num>
  <w:num w:numId="34">
    <w:abstractNumId w:val="3"/>
  </w:num>
  <w:num w:numId="35">
    <w:abstractNumId w:val="28"/>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Moves/>
  <w:documentProtection w:enforcement="0"/>
  <w:defaultTabStop w:val="2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TY1NjMzYzQ4ZmFlNjY0YzM2OTA4YzM1ODAyNGQifQ=="/>
  </w:docVars>
  <w:rsids>
    <w:rsidRoot w:val="00172A27"/>
    <w:rsid w:val="0000051E"/>
    <w:rsid w:val="00001875"/>
    <w:rsid w:val="00001CC4"/>
    <w:rsid w:val="00002207"/>
    <w:rsid w:val="00002BB3"/>
    <w:rsid w:val="00002EA7"/>
    <w:rsid w:val="00004A50"/>
    <w:rsid w:val="000061D7"/>
    <w:rsid w:val="00006AA7"/>
    <w:rsid w:val="00006D44"/>
    <w:rsid w:val="00007183"/>
    <w:rsid w:val="0001006F"/>
    <w:rsid w:val="000106DC"/>
    <w:rsid w:val="000117DB"/>
    <w:rsid w:val="000122B6"/>
    <w:rsid w:val="00012694"/>
    <w:rsid w:val="00012A57"/>
    <w:rsid w:val="00012C45"/>
    <w:rsid w:val="00012C7F"/>
    <w:rsid w:val="000130C0"/>
    <w:rsid w:val="00013451"/>
    <w:rsid w:val="000138E8"/>
    <w:rsid w:val="00013FC8"/>
    <w:rsid w:val="00014819"/>
    <w:rsid w:val="00014E44"/>
    <w:rsid w:val="00015882"/>
    <w:rsid w:val="00015C1B"/>
    <w:rsid w:val="000165F3"/>
    <w:rsid w:val="00017143"/>
    <w:rsid w:val="00017961"/>
    <w:rsid w:val="000200F4"/>
    <w:rsid w:val="0002056C"/>
    <w:rsid w:val="00020846"/>
    <w:rsid w:val="00021086"/>
    <w:rsid w:val="000213CA"/>
    <w:rsid w:val="000238D2"/>
    <w:rsid w:val="00023FB3"/>
    <w:rsid w:val="000243EC"/>
    <w:rsid w:val="00024B71"/>
    <w:rsid w:val="00025827"/>
    <w:rsid w:val="00025E08"/>
    <w:rsid w:val="000271DA"/>
    <w:rsid w:val="000272C7"/>
    <w:rsid w:val="00033594"/>
    <w:rsid w:val="00034078"/>
    <w:rsid w:val="00034558"/>
    <w:rsid w:val="00034B49"/>
    <w:rsid w:val="00034CC0"/>
    <w:rsid w:val="000401AC"/>
    <w:rsid w:val="000414DF"/>
    <w:rsid w:val="00041FB0"/>
    <w:rsid w:val="00043EB0"/>
    <w:rsid w:val="00044138"/>
    <w:rsid w:val="00044283"/>
    <w:rsid w:val="0004510E"/>
    <w:rsid w:val="000455CB"/>
    <w:rsid w:val="00047D1B"/>
    <w:rsid w:val="0005210D"/>
    <w:rsid w:val="0005216D"/>
    <w:rsid w:val="000521EA"/>
    <w:rsid w:val="000522BD"/>
    <w:rsid w:val="00052AF3"/>
    <w:rsid w:val="0005534B"/>
    <w:rsid w:val="000554C4"/>
    <w:rsid w:val="000569E0"/>
    <w:rsid w:val="00057ECE"/>
    <w:rsid w:val="0006092B"/>
    <w:rsid w:val="000612C7"/>
    <w:rsid w:val="000628DE"/>
    <w:rsid w:val="00062E9F"/>
    <w:rsid w:val="00065A58"/>
    <w:rsid w:val="00066214"/>
    <w:rsid w:val="00067099"/>
    <w:rsid w:val="0007011F"/>
    <w:rsid w:val="00071B07"/>
    <w:rsid w:val="00071B5F"/>
    <w:rsid w:val="000721F3"/>
    <w:rsid w:val="00072833"/>
    <w:rsid w:val="0007336D"/>
    <w:rsid w:val="00075BC9"/>
    <w:rsid w:val="000762F3"/>
    <w:rsid w:val="000766DB"/>
    <w:rsid w:val="00077684"/>
    <w:rsid w:val="00081900"/>
    <w:rsid w:val="00082728"/>
    <w:rsid w:val="00082AF4"/>
    <w:rsid w:val="0008352D"/>
    <w:rsid w:val="000851FA"/>
    <w:rsid w:val="0008794E"/>
    <w:rsid w:val="00090596"/>
    <w:rsid w:val="00090A79"/>
    <w:rsid w:val="000921F2"/>
    <w:rsid w:val="00092363"/>
    <w:rsid w:val="00092716"/>
    <w:rsid w:val="00092A0A"/>
    <w:rsid w:val="00092AEF"/>
    <w:rsid w:val="00093396"/>
    <w:rsid w:val="00094987"/>
    <w:rsid w:val="0009593F"/>
    <w:rsid w:val="00096442"/>
    <w:rsid w:val="00096E1A"/>
    <w:rsid w:val="00097E62"/>
    <w:rsid w:val="000A0B75"/>
    <w:rsid w:val="000A1AF1"/>
    <w:rsid w:val="000A2383"/>
    <w:rsid w:val="000A2522"/>
    <w:rsid w:val="000A5F88"/>
    <w:rsid w:val="000B050E"/>
    <w:rsid w:val="000B1136"/>
    <w:rsid w:val="000B14EB"/>
    <w:rsid w:val="000B4A08"/>
    <w:rsid w:val="000B4A8B"/>
    <w:rsid w:val="000B5795"/>
    <w:rsid w:val="000B6743"/>
    <w:rsid w:val="000C2618"/>
    <w:rsid w:val="000C2963"/>
    <w:rsid w:val="000C2EC6"/>
    <w:rsid w:val="000C38ED"/>
    <w:rsid w:val="000C54B3"/>
    <w:rsid w:val="000C6798"/>
    <w:rsid w:val="000C6F07"/>
    <w:rsid w:val="000C7445"/>
    <w:rsid w:val="000D05D4"/>
    <w:rsid w:val="000D0C52"/>
    <w:rsid w:val="000D1357"/>
    <w:rsid w:val="000D13C7"/>
    <w:rsid w:val="000D19F0"/>
    <w:rsid w:val="000D2A02"/>
    <w:rsid w:val="000D35A3"/>
    <w:rsid w:val="000D3F2C"/>
    <w:rsid w:val="000D4066"/>
    <w:rsid w:val="000D4217"/>
    <w:rsid w:val="000D42ED"/>
    <w:rsid w:val="000D5224"/>
    <w:rsid w:val="000D5377"/>
    <w:rsid w:val="000D5E50"/>
    <w:rsid w:val="000D7DA7"/>
    <w:rsid w:val="000E0025"/>
    <w:rsid w:val="000E0BAB"/>
    <w:rsid w:val="000E1320"/>
    <w:rsid w:val="000E1DAF"/>
    <w:rsid w:val="000E1FC3"/>
    <w:rsid w:val="000E32D3"/>
    <w:rsid w:val="000E3426"/>
    <w:rsid w:val="000E5415"/>
    <w:rsid w:val="000F0835"/>
    <w:rsid w:val="000F30C8"/>
    <w:rsid w:val="000F413D"/>
    <w:rsid w:val="000F558B"/>
    <w:rsid w:val="000F58DF"/>
    <w:rsid w:val="000F6406"/>
    <w:rsid w:val="000F67C0"/>
    <w:rsid w:val="000F6911"/>
    <w:rsid w:val="000F693C"/>
    <w:rsid w:val="000F6AB0"/>
    <w:rsid w:val="000F70EB"/>
    <w:rsid w:val="000F78F0"/>
    <w:rsid w:val="00100D3D"/>
    <w:rsid w:val="00100F01"/>
    <w:rsid w:val="001011BB"/>
    <w:rsid w:val="001019AF"/>
    <w:rsid w:val="00101ED4"/>
    <w:rsid w:val="00102184"/>
    <w:rsid w:val="00102229"/>
    <w:rsid w:val="001032CB"/>
    <w:rsid w:val="001038A5"/>
    <w:rsid w:val="00104D3F"/>
    <w:rsid w:val="00105679"/>
    <w:rsid w:val="0010705D"/>
    <w:rsid w:val="00107842"/>
    <w:rsid w:val="00107E4A"/>
    <w:rsid w:val="00110D6B"/>
    <w:rsid w:val="00111C02"/>
    <w:rsid w:val="001125AB"/>
    <w:rsid w:val="001128A5"/>
    <w:rsid w:val="00113E86"/>
    <w:rsid w:val="001146FD"/>
    <w:rsid w:val="001155FF"/>
    <w:rsid w:val="0011774E"/>
    <w:rsid w:val="001178C9"/>
    <w:rsid w:val="001220AE"/>
    <w:rsid w:val="00123F67"/>
    <w:rsid w:val="00124C89"/>
    <w:rsid w:val="0012794D"/>
    <w:rsid w:val="00130001"/>
    <w:rsid w:val="00130B56"/>
    <w:rsid w:val="00132476"/>
    <w:rsid w:val="001336D5"/>
    <w:rsid w:val="00134DA2"/>
    <w:rsid w:val="00134DD9"/>
    <w:rsid w:val="00134DF9"/>
    <w:rsid w:val="00135988"/>
    <w:rsid w:val="00136587"/>
    <w:rsid w:val="0013676B"/>
    <w:rsid w:val="00136CCF"/>
    <w:rsid w:val="001375BF"/>
    <w:rsid w:val="0014099A"/>
    <w:rsid w:val="00142468"/>
    <w:rsid w:val="00142FF1"/>
    <w:rsid w:val="001432F9"/>
    <w:rsid w:val="00143919"/>
    <w:rsid w:val="00143A45"/>
    <w:rsid w:val="00144118"/>
    <w:rsid w:val="00145961"/>
    <w:rsid w:val="00146313"/>
    <w:rsid w:val="00146E48"/>
    <w:rsid w:val="0014732A"/>
    <w:rsid w:val="00147D5D"/>
    <w:rsid w:val="001500C5"/>
    <w:rsid w:val="00152170"/>
    <w:rsid w:val="00154070"/>
    <w:rsid w:val="00154512"/>
    <w:rsid w:val="001545E6"/>
    <w:rsid w:val="00154BB7"/>
    <w:rsid w:val="00154E21"/>
    <w:rsid w:val="00155C44"/>
    <w:rsid w:val="00156739"/>
    <w:rsid w:val="001567DE"/>
    <w:rsid w:val="00157B2D"/>
    <w:rsid w:val="0016078F"/>
    <w:rsid w:val="001607A9"/>
    <w:rsid w:val="00162F02"/>
    <w:rsid w:val="00163BEF"/>
    <w:rsid w:val="00163CFB"/>
    <w:rsid w:val="00164338"/>
    <w:rsid w:val="00164E45"/>
    <w:rsid w:val="00166DA8"/>
    <w:rsid w:val="0016705A"/>
    <w:rsid w:val="001706C3"/>
    <w:rsid w:val="00171C67"/>
    <w:rsid w:val="00172100"/>
    <w:rsid w:val="00174A61"/>
    <w:rsid w:val="00176A9E"/>
    <w:rsid w:val="00177817"/>
    <w:rsid w:val="001804F7"/>
    <w:rsid w:val="00180663"/>
    <w:rsid w:val="00181DEF"/>
    <w:rsid w:val="0018212C"/>
    <w:rsid w:val="001825BF"/>
    <w:rsid w:val="00182C36"/>
    <w:rsid w:val="001839F2"/>
    <w:rsid w:val="00186B48"/>
    <w:rsid w:val="00186BA6"/>
    <w:rsid w:val="0018703C"/>
    <w:rsid w:val="001877F3"/>
    <w:rsid w:val="00187FE4"/>
    <w:rsid w:val="00192669"/>
    <w:rsid w:val="00193099"/>
    <w:rsid w:val="00193185"/>
    <w:rsid w:val="00193493"/>
    <w:rsid w:val="00194C3C"/>
    <w:rsid w:val="00195D5D"/>
    <w:rsid w:val="00196335"/>
    <w:rsid w:val="00197248"/>
    <w:rsid w:val="00197C46"/>
    <w:rsid w:val="001A0C2D"/>
    <w:rsid w:val="001A1267"/>
    <w:rsid w:val="001A1CD4"/>
    <w:rsid w:val="001A1F48"/>
    <w:rsid w:val="001A2969"/>
    <w:rsid w:val="001A2A78"/>
    <w:rsid w:val="001A330D"/>
    <w:rsid w:val="001A6A26"/>
    <w:rsid w:val="001A708E"/>
    <w:rsid w:val="001B292D"/>
    <w:rsid w:val="001B41A1"/>
    <w:rsid w:val="001B445A"/>
    <w:rsid w:val="001B4759"/>
    <w:rsid w:val="001B4D27"/>
    <w:rsid w:val="001B5377"/>
    <w:rsid w:val="001B5480"/>
    <w:rsid w:val="001B5739"/>
    <w:rsid w:val="001B58AA"/>
    <w:rsid w:val="001B58E9"/>
    <w:rsid w:val="001B5E20"/>
    <w:rsid w:val="001B5E53"/>
    <w:rsid w:val="001B6249"/>
    <w:rsid w:val="001B691B"/>
    <w:rsid w:val="001B69CA"/>
    <w:rsid w:val="001B7570"/>
    <w:rsid w:val="001B7C53"/>
    <w:rsid w:val="001B7E1E"/>
    <w:rsid w:val="001C0965"/>
    <w:rsid w:val="001C1CA1"/>
    <w:rsid w:val="001C2D2F"/>
    <w:rsid w:val="001C4031"/>
    <w:rsid w:val="001C4D52"/>
    <w:rsid w:val="001C57C1"/>
    <w:rsid w:val="001C7B13"/>
    <w:rsid w:val="001C7DEE"/>
    <w:rsid w:val="001D03AD"/>
    <w:rsid w:val="001D07ED"/>
    <w:rsid w:val="001D131B"/>
    <w:rsid w:val="001D1EA0"/>
    <w:rsid w:val="001D2156"/>
    <w:rsid w:val="001D231A"/>
    <w:rsid w:val="001D2CCD"/>
    <w:rsid w:val="001D4B59"/>
    <w:rsid w:val="001D509B"/>
    <w:rsid w:val="001D71FD"/>
    <w:rsid w:val="001D734E"/>
    <w:rsid w:val="001E0AE6"/>
    <w:rsid w:val="001E39A2"/>
    <w:rsid w:val="001E55C5"/>
    <w:rsid w:val="001E7782"/>
    <w:rsid w:val="001E7996"/>
    <w:rsid w:val="001E79DE"/>
    <w:rsid w:val="001F1C3A"/>
    <w:rsid w:val="001F2700"/>
    <w:rsid w:val="001F27AC"/>
    <w:rsid w:val="001F404F"/>
    <w:rsid w:val="001F51A8"/>
    <w:rsid w:val="001F5DEA"/>
    <w:rsid w:val="001F766C"/>
    <w:rsid w:val="002016F6"/>
    <w:rsid w:val="002022B6"/>
    <w:rsid w:val="00203C88"/>
    <w:rsid w:val="00203DC8"/>
    <w:rsid w:val="00205012"/>
    <w:rsid w:val="00205943"/>
    <w:rsid w:val="002072D1"/>
    <w:rsid w:val="002076E1"/>
    <w:rsid w:val="00207C76"/>
    <w:rsid w:val="00207EAA"/>
    <w:rsid w:val="00210089"/>
    <w:rsid w:val="00210283"/>
    <w:rsid w:val="00210F17"/>
    <w:rsid w:val="002115FD"/>
    <w:rsid w:val="00212E0E"/>
    <w:rsid w:val="002131F7"/>
    <w:rsid w:val="00214489"/>
    <w:rsid w:val="0021449C"/>
    <w:rsid w:val="00215BEF"/>
    <w:rsid w:val="00215E5A"/>
    <w:rsid w:val="00216204"/>
    <w:rsid w:val="0021786C"/>
    <w:rsid w:val="00217AC0"/>
    <w:rsid w:val="002227B6"/>
    <w:rsid w:val="002238C4"/>
    <w:rsid w:val="002246D4"/>
    <w:rsid w:val="00224943"/>
    <w:rsid w:val="00224FC3"/>
    <w:rsid w:val="00226396"/>
    <w:rsid w:val="00230515"/>
    <w:rsid w:val="002317C0"/>
    <w:rsid w:val="00233213"/>
    <w:rsid w:val="0023335C"/>
    <w:rsid w:val="00233F4A"/>
    <w:rsid w:val="002345D0"/>
    <w:rsid w:val="00234BBD"/>
    <w:rsid w:val="00234F8D"/>
    <w:rsid w:val="002351D1"/>
    <w:rsid w:val="00235931"/>
    <w:rsid w:val="00236093"/>
    <w:rsid w:val="002367B4"/>
    <w:rsid w:val="00236BA6"/>
    <w:rsid w:val="002375E8"/>
    <w:rsid w:val="0024025C"/>
    <w:rsid w:val="00240CD0"/>
    <w:rsid w:val="00241B79"/>
    <w:rsid w:val="00242513"/>
    <w:rsid w:val="00244137"/>
    <w:rsid w:val="00244139"/>
    <w:rsid w:val="00244D5F"/>
    <w:rsid w:val="002457AF"/>
    <w:rsid w:val="00245AA9"/>
    <w:rsid w:val="00246D9A"/>
    <w:rsid w:val="00247DE4"/>
    <w:rsid w:val="00247E49"/>
    <w:rsid w:val="0025012A"/>
    <w:rsid w:val="00250823"/>
    <w:rsid w:val="00250CDD"/>
    <w:rsid w:val="002510CA"/>
    <w:rsid w:val="002533A8"/>
    <w:rsid w:val="00253CA8"/>
    <w:rsid w:val="002546A2"/>
    <w:rsid w:val="0025533E"/>
    <w:rsid w:val="00255C7A"/>
    <w:rsid w:val="002567B8"/>
    <w:rsid w:val="00260F13"/>
    <w:rsid w:val="00261D0B"/>
    <w:rsid w:val="00261D8D"/>
    <w:rsid w:val="0026229F"/>
    <w:rsid w:val="0026234A"/>
    <w:rsid w:val="0026498F"/>
    <w:rsid w:val="00264B21"/>
    <w:rsid w:val="00265A23"/>
    <w:rsid w:val="00266000"/>
    <w:rsid w:val="00267DFC"/>
    <w:rsid w:val="00270B88"/>
    <w:rsid w:val="00270DD9"/>
    <w:rsid w:val="00272813"/>
    <w:rsid w:val="00273053"/>
    <w:rsid w:val="00274546"/>
    <w:rsid w:val="00280A4A"/>
    <w:rsid w:val="002813F5"/>
    <w:rsid w:val="00282F93"/>
    <w:rsid w:val="00283CDD"/>
    <w:rsid w:val="00284423"/>
    <w:rsid w:val="0028573D"/>
    <w:rsid w:val="0028596F"/>
    <w:rsid w:val="00285AAD"/>
    <w:rsid w:val="00286EDB"/>
    <w:rsid w:val="00291EDE"/>
    <w:rsid w:val="002928B9"/>
    <w:rsid w:val="00292E0C"/>
    <w:rsid w:val="00293D10"/>
    <w:rsid w:val="00294680"/>
    <w:rsid w:val="002954E0"/>
    <w:rsid w:val="00295EAA"/>
    <w:rsid w:val="002961D9"/>
    <w:rsid w:val="002A14DE"/>
    <w:rsid w:val="002A1810"/>
    <w:rsid w:val="002A1DF4"/>
    <w:rsid w:val="002A2CE1"/>
    <w:rsid w:val="002A480A"/>
    <w:rsid w:val="002A4EE6"/>
    <w:rsid w:val="002A6470"/>
    <w:rsid w:val="002A6EDC"/>
    <w:rsid w:val="002B040F"/>
    <w:rsid w:val="002B24FC"/>
    <w:rsid w:val="002B26FA"/>
    <w:rsid w:val="002B3640"/>
    <w:rsid w:val="002B38C3"/>
    <w:rsid w:val="002B4137"/>
    <w:rsid w:val="002B4C98"/>
    <w:rsid w:val="002B66AA"/>
    <w:rsid w:val="002C02A4"/>
    <w:rsid w:val="002C0DB5"/>
    <w:rsid w:val="002C0F6F"/>
    <w:rsid w:val="002C375F"/>
    <w:rsid w:val="002C3F43"/>
    <w:rsid w:val="002C417D"/>
    <w:rsid w:val="002C5895"/>
    <w:rsid w:val="002C5D7F"/>
    <w:rsid w:val="002C6F26"/>
    <w:rsid w:val="002C6F94"/>
    <w:rsid w:val="002D00FD"/>
    <w:rsid w:val="002D0CA6"/>
    <w:rsid w:val="002D0EE3"/>
    <w:rsid w:val="002D1EB9"/>
    <w:rsid w:val="002D20E9"/>
    <w:rsid w:val="002D30A7"/>
    <w:rsid w:val="002D3C25"/>
    <w:rsid w:val="002D3F9E"/>
    <w:rsid w:val="002D5573"/>
    <w:rsid w:val="002D6928"/>
    <w:rsid w:val="002D720D"/>
    <w:rsid w:val="002D7575"/>
    <w:rsid w:val="002E094D"/>
    <w:rsid w:val="002E13C4"/>
    <w:rsid w:val="002E189F"/>
    <w:rsid w:val="002E20C5"/>
    <w:rsid w:val="002E25B9"/>
    <w:rsid w:val="002E32C3"/>
    <w:rsid w:val="002E417A"/>
    <w:rsid w:val="002E4D5B"/>
    <w:rsid w:val="002E4F42"/>
    <w:rsid w:val="002E525B"/>
    <w:rsid w:val="002E6359"/>
    <w:rsid w:val="002F0E11"/>
    <w:rsid w:val="002F3554"/>
    <w:rsid w:val="002F365B"/>
    <w:rsid w:val="002F3E69"/>
    <w:rsid w:val="002F3F4F"/>
    <w:rsid w:val="002F40E1"/>
    <w:rsid w:val="002F53B0"/>
    <w:rsid w:val="002F62B0"/>
    <w:rsid w:val="00301460"/>
    <w:rsid w:val="003016E3"/>
    <w:rsid w:val="00301951"/>
    <w:rsid w:val="0030469A"/>
    <w:rsid w:val="00304CEA"/>
    <w:rsid w:val="0030511A"/>
    <w:rsid w:val="00305B3C"/>
    <w:rsid w:val="0030612D"/>
    <w:rsid w:val="00306244"/>
    <w:rsid w:val="003112B2"/>
    <w:rsid w:val="00311846"/>
    <w:rsid w:val="0031188C"/>
    <w:rsid w:val="00312490"/>
    <w:rsid w:val="0031257B"/>
    <w:rsid w:val="00312F86"/>
    <w:rsid w:val="003138B0"/>
    <w:rsid w:val="00313DA5"/>
    <w:rsid w:val="003155F1"/>
    <w:rsid w:val="00316FAF"/>
    <w:rsid w:val="00317DC4"/>
    <w:rsid w:val="0032011E"/>
    <w:rsid w:val="00320DCC"/>
    <w:rsid w:val="00321065"/>
    <w:rsid w:val="0032180A"/>
    <w:rsid w:val="00322CC8"/>
    <w:rsid w:val="00323A97"/>
    <w:rsid w:val="00325EFC"/>
    <w:rsid w:val="00327DCF"/>
    <w:rsid w:val="0033069C"/>
    <w:rsid w:val="00330B0C"/>
    <w:rsid w:val="00330F02"/>
    <w:rsid w:val="00331BB9"/>
    <w:rsid w:val="003340E4"/>
    <w:rsid w:val="00334FE6"/>
    <w:rsid w:val="003361B5"/>
    <w:rsid w:val="003373AF"/>
    <w:rsid w:val="00337D1A"/>
    <w:rsid w:val="00337F3B"/>
    <w:rsid w:val="00340659"/>
    <w:rsid w:val="00342188"/>
    <w:rsid w:val="00343A2E"/>
    <w:rsid w:val="00343F46"/>
    <w:rsid w:val="003444B8"/>
    <w:rsid w:val="00345925"/>
    <w:rsid w:val="00345AB9"/>
    <w:rsid w:val="00346F38"/>
    <w:rsid w:val="003477B7"/>
    <w:rsid w:val="003502F6"/>
    <w:rsid w:val="00351154"/>
    <w:rsid w:val="00352051"/>
    <w:rsid w:val="00353038"/>
    <w:rsid w:val="00353403"/>
    <w:rsid w:val="0035430E"/>
    <w:rsid w:val="00355574"/>
    <w:rsid w:val="00355D0E"/>
    <w:rsid w:val="003575D1"/>
    <w:rsid w:val="003577A2"/>
    <w:rsid w:val="00360B2B"/>
    <w:rsid w:val="00360F89"/>
    <w:rsid w:val="00361162"/>
    <w:rsid w:val="00361656"/>
    <w:rsid w:val="00362D5C"/>
    <w:rsid w:val="00363AE5"/>
    <w:rsid w:val="0036544A"/>
    <w:rsid w:val="00366AEF"/>
    <w:rsid w:val="003673D2"/>
    <w:rsid w:val="00367A96"/>
    <w:rsid w:val="00370BA1"/>
    <w:rsid w:val="00370BAC"/>
    <w:rsid w:val="00373895"/>
    <w:rsid w:val="00373F0C"/>
    <w:rsid w:val="00376939"/>
    <w:rsid w:val="003773E7"/>
    <w:rsid w:val="0037743D"/>
    <w:rsid w:val="003774BB"/>
    <w:rsid w:val="00377D1B"/>
    <w:rsid w:val="0038325F"/>
    <w:rsid w:val="00383A09"/>
    <w:rsid w:val="00383D2B"/>
    <w:rsid w:val="003871F5"/>
    <w:rsid w:val="00387D99"/>
    <w:rsid w:val="003903C1"/>
    <w:rsid w:val="00392784"/>
    <w:rsid w:val="00393516"/>
    <w:rsid w:val="0039672B"/>
    <w:rsid w:val="00396ACB"/>
    <w:rsid w:val="003A0B4A"/>
    <w:rsid w:val="003A102B"/>
    <w:rsid w:val="003A177E"/>
    <w:rsid w:val="003A2197"/>
    <w:rsid w:val="003A33D6"/>
    <w:rsid w:val="003A3E3D"/>
    <w:rsid w:val="003A4611"/>
    <w:rsid w:val="003A55B1"/>
    <w:rsid w:val="003A5FB6"/>
    <w:rsid w:val="003A6398"/>
    <w:rsid w:val="003A68D7"/>
    <w:rsid w:val="003A6CA4"/>
    <w:rsid w:val="003A7326"/>
    <w:rsid w:val="003A7873"/>
    <w:rsid w:val="003B14BD"/>
    <w:rsid w:val="003B25AB"/>
    <w:rsid w:val="003B269B"/>
    <w:rsid w:val="003B2D9F"/>
    <w:rsid w:val="003B2F8D"/>
    <w:rsid w:val="003B3BE1"/>
    <w:rsid w:val="003B3EC3"/>
    <w:rsid w:val="003B3F2D"/>
    <w:rsid w:val="003B4FDE"/>
    <w:rsid w:val="003B5ABA"/>
    <w:rsid w:val="003B5C24"/>
    <w:rsid w:val="003B6A07"/>
    <w:rsid w:val="003B6BA0"/>
    <w:rsid w:val="003B70B0"/>
    <w:rsid w:val="003B7307"/>
    <w:rsid w:val="003B744B"/>
    <w:rsid w:val="003C0285"/>
    <w:rsid w:val="003C1BDF"/>
    <w:rsid w:val="003C1E6C"/>
    <w:rsid w:val="003C28D3"/>
    <w:rsid w:val="003C2E1E"/>
    <w:rsid w:val="003C32D9"/>
    <w:rsid w:val="003C368D"/>
    <w:rsid w:val="003C384E"/>
    <w:rsid w:val="003C3C1F"/>
    <w:rsid w:val="003C4630"/>
    <w:rsid w:val="003C534D"/>
    <w:rsid w:val="003D02A1"/>
    <w:rsid w:val="003D1D2C"/>
    <w:rsid w:val="003D2777"/>
    <w:rsid w:val="003D3387"/>
    <w:rsid w:val="003D3410"/>
    <w:rsid w:val="003D4303"/>
    <w:rsid w:val="003D5CD0"/>
    <w:rsid w:val="003D6705"/>
    <w:rsid w:val="003D7170"/>
    <w:rsid w:val="003D73E9"/>
    <w:rsid w:val="003E0D0C"/>
    <w:rsid w:val="003E128B"/>
    <w:rsid w:val="003E1467"/>
    <w:rsid w:val="003E2378"/>
    <w:rsid w:val="003E2DC0"/>
    <w:rsid w:val="003E33F3"/>
    <w:rsid w:val="003E481D"/>
    <w:rsid w:val="003E4DFE"/>
    <w:rsid w:val="003E55AE"/>
    <w:rsid w:val="003E7401"/>
    <w:rsid w:val="003F06CB"/>
    <w:rsid w:val="003F3C5B"/>
    <w:rsid w:val="003F55E1"/>
    <w:rsid w:val="003F5FE7"/>
    <w:rsid w:val="003F6087"/>
    <w:rsid w:val="00400AD1"/>
    <w:rsid w:val="004013F1"/>
    <w:rsid w:val="00402A3D"/>
    <w:rsid w:val="00403B8C"/>
    <w:rsid w:val="00404B1E"/>
    <w:rsid w:val="00404C57"/>
    <w:rsid w:val="00405040"/>
    <w:rsid w:val="0040541C"/>
    <w:rsid w:val="0040598D"/>
    <w:rsid w:val="00405E87"/>
    <w:rsid w:val="004066AC"/>
    <w:rsid w:val="00407100"/>
    <w:rsid w:val="004075D3"/>
    <w:rsid w:val="00407B8F"/>
    <w:rsid w:val="00407F71"/>
    <w:rsid w:val="00410244"/>
    <w:rsid w:val="004108B2"/>
    <w:rsid w:val="0041216C"/>
    <w:rsid w:val="00412D3D"/>
    <w:rsid w:val="00412FDE"/>
    <w:rsid w:val="00414E7B"/>
    <w:rsid w:val="00415081"/>
    <w:rsid w:val="0041600A"/>
    <w:rsid w:val="00417018"/>
    <w:rsid w:val="00421925"/>
    <w:rsid w:val="00421E06"/>
    <w:rsid w:val="004221C0"/>
    <w:rsid w:val="004224F9"/>
    <w:rsid w:val="00425D86"/>
    <w:rsid w:val="004265DA"/>
    <w:rsid w:val="0042680E"/>
    <w:rsid w:val="00426DAB"/>
    <w:rsid w:val="00426E42"/>
    <w:rsid w:val="0043139C"/>
    <w:rsid w:val="00433582"/>
    <w:rsid w:val="004340F4"/>
    <w:rsid w:val="00434127"/>
    <w:rsid w:val="0043574E"/>
    <w:rsid w:val="00435763"/>
    <w:rsid w:val="00435E6E"/>
    <w:rsid w:val="00437E34"/>
    <w:rsid w:val="00440896"/>
    <w:rsid w:val="00441620"/>
    <w:rsid w:val="00441B9E"/>
    <w:rsid w:val="00442086"/>
    <w:rsid w:val="0044235E"/>
    <w:rsid w:val="0044261A"/>
    <w:rsid w:val="00442D64"/>
    <w:rsid w:val="00443211"/>
    <w:rsid w:val="00444362"/>
    <w:rsid w:val="004447A1"/>
    <w:rsid w:val="004457A9"/>
    <w:rsid w:val="004459EE"/>
    <w:rsid w:val="0044665F"/>
    <w:rsid w:val="0044690B"/>
    <w:rsid w:val="004479A2"/>
    <w:rsid w:val="00450487"/>
    <w:rsid w:val="00450A20"/>
    <w:rsid w:val="004519F4"/>
    <w:rsid w:val="00453094"/>
    <w:rsid w:val="00453117"/>
    <w:rsid w:val="00453AA2"/>
    <w:rsid w:val="004545DA"/>
    <w:rsid w:val="004570B9"/>
    <w:rsid w:val="00457F23"/>
    <w:rsid w:val="004610EB"/>
    <w:rsid w:val="00462B2B"/>
    <w:rsid w:val="00463714"/>
    <w:rsid w:val="00463DB5"/>
    <w:rsid w:val="00464F15"/>
    <w:rsid w:val="0046567C"/>
    <w:rsid w:val="00467C5A"/>
    <w:rsid w:val="00467C5E"/>
    <w:rsid w:val="00473547"/>
    <w:rsid w:val="00473974"/>
    <w:rsid w:val="00473B74"/>
    <w:rsid w:val="00473F5B"/>
    <w:rsid w:val="00474F2F"/>
    <w:rsid w:val="004758C2"/>
    <w:rsid w:val="0047653A"/>
    <w:rsid w:val="004804CA"/>
    <w:rsid w:val="00481707"/>
    <w:rsid w:val="00481EF1"/>
    <w:rsid w:val="00482049"/>
    <w:rsid w:val="004821B4"/>
    <w:rsid w:val="0048232D"/>
    <w:rsid w:val="00483E6C"/>
    <w:rsid w:val="004851A1"/>
    <w:rsid w:val="004866BA"/>
    <w:rsid w:val="00487BD6"/>
    <w:rsid w:val="00490168"/>
    <w:rsid w:val="00491728"/>
    <w:rsid w:val="004933EC"/>
    <w:rsid w:val="0049431F"/>
    <w:rsid w:val="0049464A"/>
    <w:rsid w:val="0049478B"/>
    <w:rsid w:val="00494ADA"/>
    <w:rsid w:val="00494C59"/>
    <w:rsid w:val="00495E1E"/>
    <w:rsid w:val="00496B21"/>
    <w:rsid w:val="00496B3E"/>
    <w:rsid w:val="004972FA"/>
    <w:rsid w:val="004A0074"/>
    <w:rsid w:val="004A16DF"/>
    <w:rsid w:val="004A3121"/>
    <w:rsid w:val="004A32CC"/>
    <w:rsid w:val="004A3F43"/>
    <w:rsid w:val="004A4530"/>
    <w:rsid w:val="004A4868"/>
    <w:rsid w:val="004A48B1"/>
    <w:rsid w:val="004A4D06"/>
    <w:rsid w:val="004A5DB8"/>
    <w:rsid w:val="004A7643"/>
    <w:rsid w:val="004B20C4"/>
    <w:rsid w:val="004B22E0"/>
    <w:rsid w:val="004B30AD"/>
    <w:rsid w:val="004B4F9A"/>
    <w:rsid w:val="004B6638"/>
    <w:rsid w:val="004B7FEA"/>
    <w:rsid w:val="004C076C"/>
    <w:rsid w:val="004C07C5"/>
    <w:rsid w:val="004C0955"/>
    <w:rsid w:val="004C0D2E"/>
    <w:rsid w:val="004C1A39"/>
    <w:rsid w:val="004C1D7C"/>
    <w:rsid w:val="004C2A55"/>
    <w:rsid w:val="004C2F2D"/>
    <w:rsid w:val="004C33E9"/>
    <w:rsid w:val="004C3E98"/>
    <w:rsid w:val="004C5193"/>
    <w:rsid w:val="004C5F7C"/>
    <w:rsid w:val="004C604D"/>
    <w:rsid w:val="004C611E"/>
    <w:rsid w:val="004D12FE"/>
    <w:rsid w:val="004D3097"/>
    <w:rsid w:val="004D3273"/>
    <w:rsid w:val="004D42B8"/>
    <w:rsid w:val="004D5349"/>
    <w:rsid w:val="004D64A1"/>
    <w:rsid w:val="004D66EB"/>
    <w:rsid w:val="004D6862"/>
    <w:rsid w:val="004D7871"/>
    <w:rsid w:val="004D7E08"/>
    <w:rsid w:val="004E2CB6"/>
    <w:rsid w:val="004E2D5D"/>
    <w:rsid w:val="004E35D8"/>
    <w:rsid w:val="004E35E2"/>
    <w:rsid w:val="004E3D3E"/>
    <w:rsid w:val="004E3FD8"/>
    <w:rsid w:val="004E43EC"/>
    <w:rsid w:val="004E4425"/>
    <w:rsid w:val="004E49AB"/>
    <w:rsid w:val="004E5A3F"/>
    <w:rsid w:val="004E6928"/>
    <w:rsid w:val="004E705F"/>
    <w:rsid w:val="004E72C5"/>
    <w:rsid w:val="004E7334"/>
    <w:rsid w:val="004E7FE1"/>
    <w:rsid w:val="004F1B48"/>
    <w:rsid w:val="004F23BB"/>
    <w:rsid w:val="004F2C6D"/>
    <w:rsid w:val="004F374E"/>
    <w:rsid w:val="004F447E"/>
    <w:rsid w:val="004F4FDF"/>
    <w:rsid w:val="004F50E7"/>
    <w:rsid w:val="004F7C46"/>
    <w:rsid w:val="004F7C6B"/>
    <w:rsid w:val="00501BD7"/>
    <w:rsid w:val="00503514"/>
    <w:rsid w:val="00503759"/>
    <w:rsid w:val="00503CB9"/>
    <w:rsid w:val="00505655"/>
    <w:rsid w:val="00505C37"/>
    <w:rsid w:val="005064C8"/>
    <w:rsid w:val="00506892"/>
    <w:rsid w:val="00506F5A"/>
    <w:rsid w:val="00507C6E"/>
    <w:rsid w:val="00510529"/>
    <w:rsid w:val="00510BA7"/>
    <w:rsid w:val="00511782"/>
    <w:rsid w:val="00511A7D"/>
    <w:rsid w:val="005123E3"/>
    <w:rsid w:val="00512745"/>
    <w:rsid w:val="00512A1A"/>
    <w:rsid w:val="00514FBD"/>
    <w:rsid w:val="00515093"/>
    <w:rsid w:val="00515F82"/>
    <w:rsid w:val="00517C66"/>
    <w:rsid w:val="00520B3D"/>
    <w:rsid w:val="00521C9F"/>
    <w:rsid w:val="0052200E"/>
    <w:rsid w:val="005221ED"/>
    <w:rsid w:val="00522E58"/>
    <w:rsid w:val="00524F2B"/>
    <w:rsid w:val="00526CD9"/>
    <w:rsid w:val="00530192"/>
    <w:rsid w:val="00531060"/>
    <w:rsid w:val="005312D6"/>
    <w:rsid w:val="00531684"/>
    <w:rsid w:val="005322B3"/>
    <w:rsid w:val="00533617"/>
    <w:rsid w:val="005342EC"/>
    <w:rsid w:val="00535A9D"/>
    <w:rsid w:val="00537E2A"/>
    <w:rsid w:val="00541F87"/>
    <w:rsid w:val="00542BBF"/>
    <w:rsid w:val="005433AF"/>
    <w:rsid w:val="0054379D"/>
    <w:rsid w:val="00546D80"/>
    <w:rsid w:val="005474B7"/>
    <w:rsid w:val="005476F1"/>
    <w:rsid w:val="00547A78"/>
    <w:rsid w:val="00551275"/>
    <w:rsid w:val="005514C8"/>
    <w:rsid w:val="00554941"/>
    <w:rsid w:val="00555A07"/>
    <w:rsid w:val="00556120"/>
    <w:rsid w:val="00556D5C"/>
    <w:rsid w:val="005623AC"/>
    <w:rsid w:val="0056459A"/>
    <w:rsid w:val="00564EB8"/>
    <w:rsid w:val="0056524A"/>
    <w:rsid w:val="00565C3D"/>
    <w:rsid w:val="00566D24"/>
    <w:rsid w:val="005670CE"/>
    <w:rsid w:val="005716DC"/>
    <w:rsid w:val="0057286B"/>
    <w:rsid w:val="005744E8"/>
    <w:rsid w:val="00574906"/>
    <w:rsid w:val="0057512F"/>
    <w:rsid w:val="005755AA"/>
    <w:rsid w:val="00577FFE"/>
    <w:rsid w:val="00581FE2"/>
    <w:rsid w:val="00582D0C"/>
    <w:rsid w:val="00583B02"/>
    <w:rsid w:val="005856CC"/>
    <w:rsid w:val="00586804"/>
    <w:rsid w:val="00586EC3"/>
    <w:rsid w:val="00590358"/>
    <w:rsid w:val="0059045F"/>
    <w:rsid w:val="005904F9"/>
    <w:rsid w:val="00590664"/>
    <w:rsid w:val="005914EB"/>
    <w:rsid w:val="00591640"/>
    <w:rsid w:val="00592803"/>
    <w:rsid w:val="00592977"/>
    <w:rsid w:val="005932B3"/>
    <w:rsid w:val="005944AC"/>
    <w:rsid w:val="0059723E"/>
    <w:rsid w:val="005A0640"/>
    <w:rsid w:val="005A1112"/>
    <w:rsid w:val="005A121D"/>
    <w:rsid w:val="005A19B5"/>
    <w:rsid w:val="005A1F22"/>
    <w:rsid w:val="005A2572"/>
    <w:rsid w:val="005A2897"/>
    <w:rsid w:val="005A375C"/>
    <w:rsid w:val="005A44FB"/>
    <w:rsid w:val="005B078D"/>
    <w:rsid w:val="005B0D02"/>
    <w:rsid w:val="005B1659"/>
    <w:rsid w:val="005B1C0C"/>
    <w:rsid w:val="005B1EBF"/>
    <w:rsid w:val="005B2A13"/>
    <w:rsid w:val="005B3335"/>
    <w:rsid w:val="005B3DCB"/>
    <w:rsid w:val="005B3ECC"/>
    <w:rsid w:val="005B4173"/>
    <w:rsid w:val="005B5B50"/>
    <w:rsid w:val="005B6834"/>
    <w:rsid w:val="005B6924"/>
    <w:rsid w:val="005B6BA8"/>
    <w:rsid w:val="005B6F58"/>
    <w:rsid w:val="005C0D51"/>
    <w:rsid w:val="005C1DA1"/>
    <w:rsid w:val="005C2E4D"/>
    <w:rsid w:val="005C4612"/>
    <w:rsid w:val="005C5531"/>
    <w:rsid w:val="005C5F89"/>
    <w:rsid w:val="005C6AE3"/>
    <w:rsid w:val="005C71B5"/>
    <w:rsid w:val="005C768E"/>
    <w:rsid w:val="005D1167"/>
    <w:rsid w:val="005D1373"/>
    <w:rsid w:val="005D1392"/>
    <w:rsid w:val="005D1961"/>
    <w:rsid w:val="005D19D9"/>
    <w:rsid w:val="005D41AD"/>
    <w:rsid w:val="005D41CF"/>
    <w:rsid w:val="005D5215"/>
    <w:rsid w:val="005D7C6F"/>
    <w:rsid w:val="005E40F5"/>
    <w:rsid w:val="005E4379"/>
    <w:rsid w:val="005E64F8"/>
    <w:rsid w:val="005E7582"/>
    <w:rsid w:val="005E789E"/>
    <w:rsid w:val="005F0BA6"/>
    <w:rsid w:val="005F2591"/>
    <w:rsid w:val="005F29A2"/>
    <w:rsid w:val="005F2AE4"/>
    <w:rsid w:val="005F2BC4"/>
    <w:rsid w:val="005F31B3"/>
    <w:rsid w:val="005F3A9C"/>
    <w:rsid w:val="005F427D"/>
    <w:rsid w:val="005F62FB"/>
    <w:rsid w:val="005F659E"/>
    <w:rsid w:val="005F6A35"/>
    <w:rsid w:val="005F6F29"/>
    <w:rsid w:val="005F71CC"/>
    <w:rsid w:val="005F72BA"/>
    <w:rsid w:val="005F7728"/>
    <w:rsid w:val="005F77E8"/>
    <w:rsid w:val="0060231B"/>
    <w:rsid w:val="006023FE"/>
    <w:rsid w:val="00603143"/>
    <w:rsid w:val="00604350"/>
    <w:rsid w:val="00605709"/>
    <w:rsid w:val="0060616D"/>
    <w:rsid w:val="00606303"/>
    <w:rsid w:val="006071F5"/>
    <w:rsid w:val="00607D6F"/>
    <w:rsid w:val="006106D3"/>
    <w:rsid w:val="00611057"/>
    <w:rsid w:val="00611131"/>
    <w:rsid w:val="00611F39"/>
    <w:rsid w:val="00613485"/>
    <w:rsid w:val="006141A6"/>
    <w:rsid w:val="00614314"/>
    <w:rsid w:val="0061738B"/>
    <w:rsid w:val="00617A34"/>
    <w:rsid w:val="0062021A"/>
    <w:rsid w:val="00620393"/>
    <w:rsid w:val="00620829"/>
    <w:rsid w:val="00620B64"/>
    <w:rsid w:val="00621539"/>
    <w:rsid w:val="00621BDE"/>
    <w:rsid w:val="0062622C"/>
    <w:rsid w:val="0062713D"/>
    <w:rsid w:val="00627FB9"/>
    <w:rsid w:val="0063009B"/>
    <w:rsid w:val="0063012A"/>
    <w:rsid w:val="0063068C"/>
    <w:rsid w:val="0063219B"/>
    <w:rsid w:val="00633F15"/>
    <w:rsid w:val="0063458C"/>
    <w:rsid w:val="006347BD"/>
    <w:rsid w:val="00634A59"/>
    <w:rsid w:val="00634F58"/>
    <w:rsid w:val="00636340"/>
    <w:rsid w:val="00637CA6"/>
    <w:rsid w:val="0064094A"/>
    <w:rsid w:val="006412A4"/>
    <w:rsid w:val="00642000"/>
    <w:rsid w:val="006427C8"/>
    <w:rsid w:val="006431CC"/>
    <w:rsid w:val="00644DA5"/>
    <w:rsid w:val="00646E83"/>
    <w:rsid w:val="00650FCE"/>
    <w:rsid w:val="00651071"/>
    <w:rsid w:val="006514D0"/>
    <w:rsid w:val="006517DB"/>
    <w:rsid w:val="00653232"/>
    <w:rsid w:val="00653B12"/>
    <w:rsid w:val="006542AB"/>
    <w:rsid w:val="00656228"/>
    <w:rsid w:val="006565A7"/>
    <w:rsid w:val="00656D6E"/>
    <w:rsid w:val="00660630"/>
    <w:rsid w:val="006607E1"/>
    <w:rsid w:val="00660BFD"/>
    <w:rsid w:val="006614AB"/>
    <w:rsid w:val="006625B0"/>
    <w:rsid w:val="00662AFA"/>
    <w:rsid w:val="00665E2F"/>
    <w:rsid w:val="00667CFD"/>
    <w:rsid w:val="00667FBC"/>
    <w:rsid w:val="006706AF"/>
    <w:rsid w:val="00670DB7"/>
    <w:rsid w:val="00671728"/>
    <w:rsid w:val="00671BDF"/>
    <w:rsid w:val="00671C98"/>
    <w:rsid w:val="00671F99"/>
    <w:rsid w:val="00671FAF"/>
    <w:rsid w:val="00672066"/>
    <w:rsid w:val="006720EB"/>
    <w:rsid w:val="006728BD"/>
    <w:rsid w:val="00674251"/>
    <w:rsid w:val="006754DE"/>
    <w:rsid w:val="00677727"/>
    <w:rsid w:val="0068197E"/>
    <w:rsid w:val="00681F13"/>
    <w:rsid w:val="00682181"/>
    <w:rsid w:val="00684AE1"/>
    <w:rsid w:val="00684FD5"/>
    <w:rsid w:val="00686548"/>
    <w:rsid w:val="00687757"/>
    <w:rsid w:val="00687FDF"/>
    <w:rsid w:val="00690985"/>
    <w:rsid w:val="00690F82"/>
    <w:rsid w:val="0069317C"/>
    <w:rsid w:val="00693E66"/>
    <w:rsid w:val="0069430C"/>
    <w:rsid w:val="00694674"/>
    <w:rsid w:val="00694ADD"/>
    <w:rsid w:val="00695C55"/>
    <w:rsid w:val="006971EB"/>
    <w:rsid w:val="006A0080"/>
    <w:rsid w:val="006A1937"/>
    <w:rsid w:val="006A286E"/>
    <w:rsid w:val="006A345F"/>
    <w:rsid w:val="006A396B"/>
    <w:rsid w:val="006A3A4E"/>
    <w:rsid w:val="006A3B9A"/>
    <w:rsid w:val="006A4715"/>
    <w:rsid w:val="006A5860"/>
    <w:rsid w:val="006A7628"/>
    <w:rsid w:val="006B07C5"/>
    <w:rsid w:val="006B1001"/>
    <w:rsid w:val="006B1471"/>
    <w:rsid w:val="006B172A"/>
    <w:rsid w:val="006B278D"/>
    <w:rsid w:val="006B293E"/>
    <w:rsid w:val="006B2EFB"/>
    <w:rsid w:val="006B3737"/>
    <w:rsid w:val="006B42BD"/>
    <w:rsid w:val="006B4E32"/>
    <w:rsid w:val="006B638E"/>
    <w:rsid w:val="006B79A5"/>
    <w:rsid w:val="006B79EB"/>
    <w:rsid w:val="006C0456"/>
    <w:rsid w:val="006C06EC"/>
    <w:rsid w:val="006C08BF"/>
    <w:rsid w:val="006C0D95"/>
    <w:rsid w:val="006C16E2"/>
    <w:rsid w:val="006C174D"/>
    <w:rsid w:val="006C1EBF"/>
    <w:rsid w:val="006C1FBA"/>
    <w:rsid w:val="006C251D"/>
    <w:rsid w:val="006C3AA1"/>
    <w:rsid w:val="006C3E56"/>
    <w:rsid w:val="006C57C5"/>
    <w:rsid w:val="006C586B"/>
    <w:rsid w:val="006C64BB"/>
    <w:rsid w:val="006C6506"/>
    <w:rsid w:val="006C6762"/>
    <w:rsid w:val="006C6907"/>
    <w:rsid w:val="006D0845"/>
    <w:rsid w:val="006D1E5D"/>
    <w:rsid w:val="006D58E0"/>
    <w:rsid w:val="006D6679"/>
    <w:rsid w:val="006D71D2"/>
    <w:rsid w:val="006D784D"/>
    <w:rsid w:val="006E0C61"/>
    <w:rsid w:val="006E0EBA"/>
    <w:rsid w:val="006E0EE3"/>
    <w:rsid w:val="006E0F43"/>
    <w:rsid w:val="006E1C42"/>
    <w:rsid w:val="006E1D7F"/>
    <w:rsid w:val="006E259E"/>
    <w:rsid w:val="006E3E54"/>
    <w:rsid w:val="006E3F45"/>
    <w:rsid w:val="006E3FD1"/>
    <w:rsid w:val="006E6418"/>
    <w:rsid w:val="006E7FCA"/>
    <w:rsid w:val="006F01C4"/>
    <w:rsid w:val="006F070D"/>
    <w:rsid w:val="006F1062"/>
    <w:rsid w:val="006F13C3"/>
    <w:rsid w:val="006F30A4"/>
    <w:rsid w:val="006F3AF3"/>
    <w:rsid w:val="006F3BB0"/>
    <w:rsid w:val="006F49F9"/>
    <w:rsid w:val="006F5146"/>
    <w:rsid w:val="006F58CA"/>
    <w:rsid w:val="006F5FC9"/>
    <w:rsid w:val="006F66D2"/>
    <w:rsid w:val="00701D16"/>
    <w:rsid w:val="00702C41"/>
    <w:rsid w:val="00702FD9"/>
    <w:rsid w:val="00703700"/>
    <w:rsid w:val="00703A14"/>
    <w:rsid w:val="0070404F"/>
    <w:rsid w:val="00704AA1"/>
    <w:rsid w:val="00705E92"/>
    <w:rsid w:val="007069F7"/>
    <w:rsid w:val="00706DA4"/>
    <w:rsid w:val="007100F3"/>
    <w:rsid w:val="00710538"/>
    <w:rsid w:val="00710B51"/>
    <w:rsid w:val="00711034"/>
    <w:rsid w:val="00711BDC"/>
    <w:rsid w:val="00712215"/>
    <w:rsid w:val="00713C3E"/>
    <w:rsid w:val="00713C80"/>
    <w:rsid w:val="00715778"/>
    <w:rsid w:val="0071696A"/>
    <w:rsid w:val="00716B13"/>
    <w:rsid w:val="00716C2E"/>
    <w:rsid w:val="007170FC"/>
    <w:rsid w:val="00720081"/>
    <w:rsid w:val="00720209"/>
    <w:rsid w:val="00720251"/>
    <w:rsid w:val="00720379"/>
    <w:rsid w:val="00720827"/>
    <w:rsid w:val="00721230"/>
    <w:rsid w:val="00721BAF"/>
    <w:rsid w:val="007227F7"/>
    <w:rsid w:val="00722FE9"/>
    <w:rsid w:val="0072385B"/>
    <w:rsid w:val="00723E84"/>
    <w:rsid w:val="00724434"/>
    <w:rsid w:val="007249C3"/>
    <w:rsid w:val="00724E33"/>
    <w:rsid w:val="00726A99"/>
    <w:rsid w:val="00727114"/>
    <w:rsid w:val="007309F5"/>
    <w:rsid w:val="00732078"/>
    <w:rsid w:val="00734118"/>
    <w:rsid w:val="00734C0B"/>
    <w:rsid w:val="007363D2"/>
    <w:rsid w:val="00737A5B"/>
    <w:rsid w:val="0074002C"/>
    <w:rsid w:val="00740823"/>
    <w:rsid w:val="00740880"/>
    <w:rsid w:val="00740F83"/>
    <w:rsid w:val="00741912"/>
    <w:rsid w:val="00741E82"/>
    <w:rsid w:val="00742DE5"/>
    <w:rsid w:val="0074450F"/>
    <w:rsid w:val="00744827"/>
    <w:rsid w:val="007451F5"/>
    <w:rsid w:val="00745443"/>
    <w:rsid w:val="00746D92"/>
    <w:rsid w:val="007474C2"/>
    <w:rsid w:val="007479E8"/>
    <w:rsid w:val="00747FDD"/>
    <w:rsid w:val="00750562"/>
    <w:rsid w:val="00752E28"/>
    <w:rsid w:val="00753A4E"/>
    <w:rsid w:val="0075416E"/>
    <w:rsid w:val="00755BB5"/>
    <w:rsid w:val="00755E26"/>
    <w:rsid w:val="00755E8A"/>
    <w:rsid w:val="00757E64"/>
    <w:rsid w:val="00757EBE"/>
    <w:rsid w:val="00760987"/>
    <w:rsid w:val="0076350B"/>
    <w:rsid w:val="0076383E"/>
    <w:rsid w:val="00763C62"/>
    <w:rsid w:val="00764315"/>
    <w:rsid w:val="00764493"/>
    <w:rsid w:val="0076602D"/>
    <w:rsid w:val="0076608C"/>
    <w:rsid w:val="007662C7"/>
    <w:rsid w:val="00766A5A"/>
    <w:rsid w:val="00767DB2"/>
    <w:rsid w:val="00770B6B"/>
    <w:rsid w:val="00770CC3"/>
    <w:rsid w:val="00771605"/>
    <w:rsid w:val="0077196D"/>
    <w:rsid w:val="007732CA"/>
    <w:rsid w:val="00773496"/>
    <w:rsid w:val="007734F5"/>
    <w:rsid w:val="00774641"/>
    <w:rsid w:val="007751E4"/>
    <w:rsid w:val="00776871"/>
    <w:rsid w:val="00776A3D"/>
    <w:rsid w:val="00777B46"/>
    <w:rsid w:val="00777D0E"/>
    <w:rsid w:val="00777F2F"/>
    <w:rsid w:val="00781482"/>
    <w:rsid w:val="00781E76"/>
    <w:rsid w:val="007828BF"/>
    <w:rsid w:val="007831E9"/>
    <w:rsid w:val="00785822"/>
    <w:rsid w:val="00785CFD"/>
    <w:rsid w:val="007873D0"/>
    <w:rsid w:val="007877EC"/>
    <w:rsid w:val="00790440"/>
    <w:rsid w:val="0079049D"/>
    <w:rsid w:val="00791269"/>
    <w:rsid w:val="00793683"/>
    <w:rsid w:val="00794C7E"/>
    <w:rsid w:val="00794CF6"/>
    <w:rsid w:val="00795119"/>
    <w:rsid w:val="007A1110"/>
    <w:rsid w:val="007A1DC9"/>
    <w:rsid w:val="007A2929"/>
    <w:rsid w:val="007A2F13"/>
    <w:rsid w:val="007A3D26"/>
    <w:rsid w:val="007A3D76"/>
    <w:rsid w:val="007A4157"/>
    <w:rsid w:val="007A4E78"/>
    <w:rsid w:val="007A51B8"/>
    <w:rsid w:val="007A6AB1"/>
    <w:rsid w:val="007A6BEA"/>
    <w:rsid w:val="007A7712"/>
    <w:rsid w:val="007A7B5B"/>
    <w:rsid w:val="007B17C3"/>
    <w:rsid w:val="007B3433"/>
    <w:rsid w:val="007B5B49"/>
    <w:rsid w:val="007B60EE"/>
    <w:rsid w:val="007C0C3B"/>
    <w:rsid w:val="007C15F8"/>
    <w:rsid w:val="007C1867"/>
    <w:rsid w:val="007C1C6B"/>
    <w:rsid w:val="007C2052"/>
    <w:rsid w:val="007C21C8"/>
    <w:rsid w:val="007C568C"/>
    <w:rsid w:val="007D0C46"/>
    <w:rsid w:val="007D1A83"/>
    <w:rsid w:val="007D20C1"/>
    <w:rsid w:val="007D28FB"/>
    <w:rsid w:val="007D2AE0"/>
    <w:rsid w:val="007D45AC"/>
    <w:rsid w:val="007D4D25"/>
    <w:rsid w:val="007D5198"/>
    <w:rsid w:val="007D5B4A"/>
    <w:rsid w:val="007D76C1"/>
    <w:rsid w:val="007D79EA"/>
    <w:rsid w:val="007E152C"/>
    <w:rsid w:val="007E3BE6"/>
    <w:rsid w:val="007E5BD9"/>
    <w:rsid w:val="007E662F"/>
    <w:rsid w:val="007E7AE5"/>
    <w:rsid w:val="007E7EBD"/>
    <w:rsid w:val="007F1A9D"/>
    <w:rsid w:val="007F1FAE"/>
    <w:rsid w:val="007F203B"/>
    <w:rsid w:val="007F37CC"/>
    <w:rsid w:val="007F3A21"/>
    <w:rsid w:val="007F5FB8"/>
    <w:rsid w:val="007F6792"/>
    <w:rsid w:val="007F6D75"/>
    <w:rsid w:val="007F7138"/>
    <w:rsid w:val="00801707"/>
    <w:rsid w:val="00802AE2"/>
    <w:rsid w:val="00803901"/>
    <w:rsid w:val="008042B9"/>
    <w:rsid w:val="00804DA3"/>
    <w:rsid w:val="00805B4A"/>
    <w:rsid w:val="00810706"/>
    <w:rsid w:val="0081173D"/>
    <w:rsid w:val="008121A6"/>
    <w:rsid w:val="00814D72"/>
    <w:rsid w:val="00816431"/>
    <w:rsid w:val="00820DF9"/>
    <w:rsid w:val="00820EDB"/>
    <w:rsid w:val="008223B0"/>
    <w:rsid w:val="00822D47"/>
    <w:rsid w:val="008234CF"/>
    <w:rsid w:val="008235D1"/>
    <w:rsid w:val="00823AA6"/>
    <w:rsid w:val="00824443"/>
    <w:rsid w:val="008278A0"/>
    <w:rsid w:val="00827F80"/>
    <w:rsid w:val="00832961"/>
    <w:rsid w:val="00832B75"/>
    <w:rsid w:val="00833A4C"/>
    <w:rsid w:val="008344ED"/>
    <w:rsid w:val="008344F5"/>
    <w:rsid w:val="00834E66"/>
    <w:rsid w:val="00835375"/>
    <w:rsid w:val="008354ED"/>
    <w:rsid w:val="008368AA"/>
    <w:rsid w:val="0083692E"/>
    <w:rsid w:val="00837D9F"/>
    <w:rsid w:val="00841244"/>
    <w:rsid w:val="00841E63"/>
    <w:rsid w:val="00841E8A"/>
    <w:rsid w:val="00842B71"/>
    <w:rsid w:val="00843C04"/>
    <w:rsid w:val="00844499"/>
    <w:rsid w:val="008447FE"/>
    <w:rsid w:val="008459BB"/>
    <w:rsid w:val="00846662"/>
    <w:rsid w:val="00851F39"/>
    <w:rsid w:val="008569D9"/>
    <w:rsid w:val="00856F0B"/>
    <w:rsid w:val="00860224"/>
    <w:rsid w:val="008604CE"/>
    <w:rsid w:val="00860838"/>
    <w:rsid w:val="00860E36"/>
    <w:rsid w:val="0086107F"/>
    <w:rsid w:val="008612E4"/>
    <w:rsid w:val="00862D41"/>
    <w:rsid w:val="008631A3"/>
    <w:rsid w:val="008659DB"/>
    <w:rsid w:val="00866C43"/>
    <w:rsid w:val="0087070B"/>
    <w:rsid w:val="0087070C"/>
    <w:rsid w:val="0087237D"/>
    <w:rsid w:val="0087284C"/>
    <w:rsid w:val="008750BE"/>
    <w:rsid w:val="00875AE8"/>
    <w:rsid w:val="008765B7"/>
    <w:rsid w:val="00877DE8"/>
    <w:rsid w:val="0088110E"/>
    <w:rsid w:val="0088465C"/>
    <w:rsid w:val="00884A2A"/>
    <w:rsid w:val="00885850"/>
    <w:rsid w:val="00885A12"/>
    <w:rsid w:val="0088746C"/>
    <w:rsid w:val="008874A9"/>
    <w:rsid w:val="00887803"/>
    <w:rsid w:val="0089271B"/>
    <w:rsid w:val="008942AB"/>
    <w:rsid w:val="008948B5"/>
    <w:rsid w:val="00894C8F"/>
    <w:rsid w:val="008967FD"/>
    <w:rsid w:val="008A12DF"/>
    <w:rsid w:val="008A22E6"/>
    <w:rsid w:val="008A23F8"/>
    <w:rsid w:val="008A25BC"/>
    <w:rsid w:val="008A26AD"/>
    <w:rsid w:val="008A2B14"/>
    <w:rsid w:val="008A3A18"/>
    <w:rsid w:val="008A56A3"/>
    <w:rsid w:val="008A56BC"/>
    <w:rsid w:val="008A5A1A"/>
    <w:rsid w:val="008A5A25"/>
    <w:rsid w:val="008A78A4"/>
    <w:rsid w:val="008B07E1"/>
    <w:rsid w:val="008B0E9C"/>
    <w:rsid w:val="008B14EE"/>
    <w:rsid w:val="008B21B1"/>
    <w:rsid w:val="008B2E8A"/>
    <w:rsid w:val="008B3180"/>
    <w:rsid w:val="008B4C92"/>
    <w:rsid w:val="008B534E"/>
    <w:rsid w:val="008C063B"/>
    <w:rsid w:val="008C0654"/>
    <w:rsid w:val="008C0F83"/>
    <w:rsid w:val="008C1353"/>
    <w:rsid w:val="008C19AB"/>
    <w:rsid w:val="008C26D9"/>
    <w:rsid w:val="008C3A4A"/>
    <w:rsid w:val="008C4395"/>
    <w:rsid w:val="008C4778"/>
    <w:rsid w:val="008C5297"/>
    <w:rsid w:val="008C54AD"/>
    <w:rsid w:val="008C6C9E"/>
    <w:rsid w:val="008C720B"/>
    <w:rsid w:val="008D1036"/>
    <w:rsid w:val="008D1724"/>
    <w:rsid w:val="008D1764"/>
    <w:rsid w:val="008D226C"/>
    <w:rsid w:val="008D49D5"/>
    <w:rsid w:val="008D49E5"/>
    <w:rsid w:val="008D5CD1"/>
    <w:rsid w:val="008D5EF6"/>
    <w:rsid w:val="008D7891"/>
    <w:rsid w:val="008E0F30"/>
    <w:rsid w:val="008E1BEF"/>
    <w:rsid w:val="008E25E6"/>
    <w:rsid w:val="008E3A8D"/>
    <w:rsid w:val="008E3B49"/>
    <w:rsid w:val="008E59E8"/>
    <w:rsid w:val="008E63FE"/>
    <w:rsid w:val="008E66C0"/>
    <w:rsid w:val="008E7417"/>
    <w:rsid w:val="008E76EA"/>
    <w:rsid w:val="008F00FA"/>
    <w:rsid w:val="008F01AF"/>
    <w:rsid w:val="008F1368"/>
    <w:rsid w:val="008F4505"/>
    <w:rsid w:val="008F50A4"/>
    <w:rsid w:val="008F5348"/>
    <w:rsid w:val="008F7A23"/>
    <w:rsid w:val="00900BC8"/>
    <w:rsid w:val="009047D9"/>
    <w:rsid w:val="00904F51"/>
    <w:rsid w:val="0090547D"/>
    <w:rsid w:val="00906721"/>
    <w:rsid w:val="00906738"/>
    <w:rsid w:val="0090702E"/>
    <w:rsid w:val="0091005C"/>
    <w:rsid w:val="00910835"/>
    <w:rsid w:val="0091100E"/>
    <w:rsid w:val="00912D04"/>
    <w:rsid w:val="00913234"/>
    <w:rsid w:val="009147B8"/>
    <w:rsid w:val="0091505F"/>
    <w:rsid w:val="0091522F"/>
    <w:rsid w:val="00917E1E"/>
    <w:rsid w:val="00920283"/>
    <w:rsid w:val="009220C2"/>
    <w:rsid w:val="00923299"/>
    <w:rsid w:val="009232C4"/>
    <w:rsid w:val="00923EA3"/>
    <w:rsid w:val="009244A1"/>
    <w:rsid w:val="00925690"/>
    <w:rsid w:val="009258EB"/>
    <w:rsid w:val="00925E96"/>
    <w:rsid w:val="00925F11"/>
    <w:rsid w:val="00926326"/>
    <w:rsid w:val="0092634D"/>
    <w:rsid w:val="00926643"/>
    <w:rsid w:val="00926DA5"/>
    <w:rsid w:val="0092792A"/>
    <w:rsid w:val="00930015"/>
    <w:rsid w:val="00930419"/>
    <w:rsid w:val="009307C6"/>
    <w:rsid w:val="009318BE"/>
    <w:rsid w:val="00932233"/>
    <w:rsid w:val="00932422"/>
    <w:rsid w:val="00933F59"/>
    <w:rsid w:val="009345E8"/>
    <w:rsid w:val="0093510B"/>
    <w:rsid w:val="00935544"/>
    <w:rsid w:val="009374BD"/>
    <w:rsid w:val="00937577"/>
    <w:rsid w:val="00940FD7"/>
    <w:rsid w:val="009425C6"/>
    <w:rsid w:val="0094331B"/>
    <w:rsid w:val="0094392E"/>
    <w:rsid w:val="00943ED1"/>
    <w:rsid w:val="00945089"/>
    <w:rsid w:val="00945AC5"/>
    <w:rsid w:val="00946577"/>
    <w:rsid w:val="009468F7"/>
    <w:rsid w:val="00946976"/>
    <w:rsid w:val="00946CD5"/>
    <w:rsid w:val="00947E47"/>
    <w:rsid w:val="00950395"/>
    <w:rsid w:val="00950821"/>
    <w:rsid w:val="009515CC"/>
    <w:rsid w:val="00951D07"/>
    <w:rsid w:val="0095215D"/>
    <w:rsid w:val="00952568"/>
    <w:rsid w:val="00952652"/>
    <w:rsid w:val="00952763"/>
    <w:rsid w:val="00952C56"/>
    <w:rsid w:val="0095440C"/>
    <w:rsid w:val="00954E23"/>
    <w:rsid w:val="0095562D"/>
    <w:rsid w:val="00955957"/>
    <w:rsid w:val="0095596C"/>
    <w:rsid w:val="00956413"/>
    <w:rsid w:val="00956EEF"/>
    <w:rsid w:val="00957519"/>
    <w:rsid w:val="00960FD9"/>
    <w:rsid w:val="00961374"/>
    <w:rsid w:val="00962022"/>
    <w:rsid w:val="009643AF"/>
    <w:rsid w:val="00967042"/>
    <w:rsid w:val="00970805"/>
    <w:rsid w:val="00970CBC"/>
    <w:rsid w:val="00971F8A"/>
    <w:rsid w:val="009727B0"/>
    <w:rsid w:val="00972D49"/>
    <w:rsid w:val="009741E0"/>
    <w:rsid w:val="0097421D"/>
    <w:rsid w:val="009760B2"/>
    <w:rsid w:val="009768EB"/>
    <w:rsid w:val="0097749F"/>
    <w:rsid w:val="00977F5B"/>
    <w:rsid w:val="00980151"/>
    <w:rsid w:val="009804CA"/>
    <w:rsid w:val="00982099"/>
    <w:rsid w:val="009821E0"/>
    <w:rsid w:val="009823ED"/>
    <w:rsid w:val="00982CBF"/>
    <w:rsid w:val="00983A9B"/>
    <w:rsid w:val="00983F57"/>
    <w:rsid w:val="00984623"/>
    <w:rsid w:val="00984F62"/>
    <w:rsid w:val="00985BA1"/>
    <w:rsid w:val="00985C29"/>
    <w:rsid w:val="0098711C"/>
    <w:rsid w:val="00991C2F"/>
    <w:rsid w:val="0099278E"/>
    <w:rsid w:val="009929F3"/>
    <w:rsid w:val="00992AD8"/>
    <w:rsid w:val="00992BB4"/>
    <w:rsid w:val="00992D8C"/>
    <w:rsid w:val="00993718"/>
    <w:rsid w:val="009943D7"/>
    <w:rsid w:val="009943FD"/>
    <w:rsid w:val="00994432"/>
    <w:rsid w:val="009945AA"/>
    <w:rsid w:val="00996888"/>
    <w:rsid w:val="00996D59"/>
    <w:rsid w:val="009976D4"/>
    <w:rsid w:val="00997CEE"/>
    <w:rsid w:val="009A0D1E"/>
    <w:rsid w:val="009A1227"/>
    <w:rsid w:val="009A16F8"/>
    <w:rsid w:val="009A1CC6"/>
    <w:rsid w:val="009A3162"/>
    <w:rsid w:val="009A46BD"/>
    <w:rsid w:val="009A49FC"/>
    <w:rsid w:val="009A4E37"/>
    <w:rsid w:val="009A4FAA"/>
    <w:rsid w:val="009A55FA"/>
    <w:rsid w:val="009A5F98"/>
    <w:rsid w:val="009A6C0D"/>
    <w:rsid w:val="009A6E6B"/>
    <w:rsid w:val="009B07B0"/>
    <w:rsid w:val="009B2E0C"/>
    <w:rsid w:val="009B2E2C"/>
    <w:rsid w:val="009B2F78"/>
    <w:rsid w:val="009B426D"/>
    <w:rsid w:val="009B545E"/>
    <w:rsid w:val="009B5628"/>
    <w:rsid w:val="009B587E"/>
    <w:rsid w:val="009B5912"/>
    <w:rsid w:val="009B5E34"/>
    <w:rsid w:val="009B64D9"/>
    <w:rsid w:val="009B687F"/>
    <w:rsid w:val="009B6FC9"/>
    <w:rsid w:val="009B7C82"/>
    <w:rsid w:val="009C18E4"/>
    <w:rsid w:val="009C32CE"/>
    <w:rsid w:val="009C33D6"/>
    <w:rsid w:val="009C3B90"/>
    <w:rsid w:val="009C3C5C"/>
    <w:rsid w:val="009C449A"/>
    <w:rsid w:val="009C44DA"/>
    <w:rsid w:val="009C4553"/>
    <w:rsid w:val="009D0A0F"/>
    <w:rsid w:val="009D1064"/>
    <w:rsid w:val="009D10A2"/>
    <w:rsid w:val="009D2858"/>
    <w:rsid w:val="009D2BAA"/>
    <w:rsid w:val="009D32DD"/>
    <w:rsid w:val="009D34B4"/>
    <w:rsid w:val="009D3F66"/>
    <w:rsid w:val="009D4CD5"/>
    <w:rsid w:val="009D4D54"/>
    <w:rsid w:val="009D584A"/>
    <w:rsid w:val="009D58DE"/>
    <w:rsid w:val="009D6007"/>
    <w:rsid w:val="009D6F21"/>
    <w:rsid w:val="009D73EC"/>
    <w:rsid w:val="009D795D"/>
    <w:rsid w:val="009D7BE6"/>
    <w:rsid w:val="009D7DC8"/>
    <w:rsid w:val="009E0058"/>
    <w:rsid w:val="009E0BB0"/>
    <w:rsid w:val="009E0C4A"/>
    <w:rsid w:val="009E0CE3"/>
    <w:rsid w:val="009E23E7"/>
    <w:rsid w:val="009E28ED"/>
    <w:rsid w:val="009E3B2C"/>
    <w:rsid w:val="009E4FF5"/>
    <w:rsid w:val="009E6009"/>
    <w:rsid w:val="009E6201"/>
    <w:rsid w:val="009E7026"/>
    <w:rsid w:val="009E7328"/>
    <w:rsid w:val="009F081A"/>
    <w:rsid w:val="009F0F07"/>
    <w:rsid w:val="009F2563"/>
    <w:rsid w:val="009F2B70"/>
    <w:rsid w:val="009F42F4"/>
    <w:rsid w:val="009F43E9"/>
    <w:rsid w:val="009F4577"/>
    <w:rsid w:val="009F48E6"/>
    <w:rsid w:val="009F58C3"/>
    <w:rsid w:val="009F62F8"/>
    <w:rsid w:val="009F687A"/>
    <w:rsid w:val="009F7539"/>
    <w:rsid w:val="009F79BF"/>
    <w:rsid w:val="00A015A3"/>
    <w:rsid w:val="00A025A4"/>
    <w:rsid w:val="00A02D23"/>
    <w:rsid w:val="00A034AA"/>
    <w:rsid w:val="00A039F7"/>
    <w:rsid w:val="00A0454B"/>
    <w:rsid w:val="00A054A3"/>
    <w:rsid w:val="00A07747"/>
    <w:rsid w:val="00A10249"/>
    <w:rsid w:val="00A10A1B"/>
    <w:rsid w:val="00A11126"/>
    <w:rsid w:val="00A11CA1"/>
    <w:rsid w:val="00A13412"/>
    <w:rsid w:val="00A1384B"/>
    <w:rsid w:val="00A14ABD"/>
    <w:rsid w:val="00A16D5F"/>
    <w:rsid w:val="00A222B2"/>
    <w:rsid w:val="00A22376"/>
    <w:rsid w:val="00A23E2E"/>
    <w:rsid w:val="00A23F9A"/>
    <w:rsid w:val="00A2460F"/>
    <w:rsid w:val="00A24DBD"/>
    <w:rsid w:val="00A26204"/>
    <w:rsid w:val="00A26DBE"/>
    <w:rsid w:val="00A308D2"/>
    <w:rsid w:val="00A309C6"/>
    <w:rsid w:val="00A326CA"/>
    <w:rsid w:val="00A32B19"/>
    <w:rsid w:val="00A32F2D"/>
    <w:rsid w:val="00A338DE"/>
    <w:rsid w:val="00A33A33"/>
    <w:rsid w:val="00A33D08"/>
    <w:rsid w:val="00A33F05"/>
    <w:rsid w:val="00A3461B"/>
    <w:rsid w:val="00A3494F"/>
    <w:rsid w:val="00A35BC0"/>
    <w:rsid w:val="00A36BB3"/>
    <w:rsid w:val="00A37F75"/>
    <w:rsid w:val="00A40A0C"/>
    <w:rsid w:val="00A4130B"/>
    <w:rsid w:val="00A4245B"/>
    <w:rsid w:val="00A441B4"/>
    <w:rsid w:val="00A451DA"/>
    <w:rsid w:val="00A451FA"/>
    <w:rsid w:val="00A47EAF"/>
    <w:rsid w:val="00A50BC4"/>
    <w:rsid w:val="00A50F4E"/>
    <w:rsid w:val="00A53616"/>
    <w:rsid w:val="00A53A3D"/>
    <w:rsid w:val="00A53AC0"/>
    <w:rsid w:val="00A53C08"/>
    <w:rsid w:val="00A55D92"/>
    <w:rsid w:val="00A55E1F"/>
    <w:rsid w:val="00A571B9"/>
    <w:rsid w:val="00A60E51"/>
    <w:rsid w:val="00A61161"/>
    <w:rsid w:val="00A62540"/>
    <w:rsid w:val="00A63101"/>
    <w:rsid w:val="00A63FC3"/>
    <w:rsid w:val="00A6432A"/>
    <w:rsid w:val="00A64741"/>
    <w:rsid w:val="00A64C48"/>
    <w:rsid w:val="00A64F08"/>
    <w:rsid w:val="00A70D95"/>
    <w:rsid w:val="00A710D1"/>
    <w:rsid w:val="00A7154D"/>
    <w:rsid w:val="00A71A3E"/>
    <w:rsid w:val="00A723E0"/>
    <w:rsid w:val="00A7316E"/>
    <w:rsid w:val="00A7339B"/>
    <w:rsid w:val="00A73757"/>
    <w:rsid w:val="00A7419D"/>
    <w:rsid w:val="00A7456A"/>
    <w:rsid w:val="00A74D28"/>
    <w:rsid w:val="00A75021"/>
    <w:rsid w:val="00A756B9"/>
    <w:rsid w:val="00A75B37"/>
    <w:rsid w:val="00A75B9F"/>
    <w:rsid w:val="00A76A74"/>
    <w:rsid w:val="00A807B4"/>
    <w:rsid w:val="00A81223"/>
    <w:rsid w:val="00A82AD2"/>
    <w:rsid w:val="00A83B82"/>
    <w:rsid w:val="00A8562A"/>
    <w:rsid w:val="00A857E7"/>
    <w:rsid w:val="00A85BF8"/>
    <w:rsid w:val="00A8606C"/>
    <w:rsid w:val="00A86728"/>
    <w:rsid w:val="00A86A7D"/>
    <w:rsid w:val="00A86EF5"/>
    <w:rsid w:val="00A87197"/>
    <w:rsid w:val="00A92CA3"/>
    <w:rsid w:val="00A9334F"/>
    <w:rsid w:val="00A94208"/>
    <w:rsid w:val="00A9457A"/>
    <w:rsid w:val="00A95219"/>
    <w:rsid w:val="00A9542C"/>
    <w:rsid w:val="00A962EF"/>
    <w:rsid w:val="00A96EE0"/>
    <w:rsid w:val="00A97167"/>
    <w:rsid w:val="00A97425"/>
    <w:rsid w:val="00A974CD"/>
    <w:rsid w:val="00A97EF3"/>
    <w:rsid w:val="00AA1D31"/>
    <w:rsid w:val="00AA29C6"/>
    <w:rsid w:val="00AA40D9"/>
    <w:rsid w:val="00AA5C60"/>
    <w:rsid w:val="00AA6463"/>
    <w:rsid w:val="00AA7A97"/>
    <w:rsid w:val="00AA7E4E"/>
    <w:rsid w:val="00AB1C1B"/>
    <w:rsid w:val="00AB3F50"/>
    <w:rsid w:val="00AB4A33"/>
    <w:rsid w:val="00AB4CDF"/>
    <w:rsid w:val="00AB59B9"/>
    <w:rsid w:val="00AC18E6"/>
    <w:rsid w:val="00AC1D30"/>
    <w:rsid w:val="00AC455B"/>
    <w:rsid w:val="00AC5E6B"/>
    <w:rsid w:val="00AC6985"/>
    <w:rsid w:val="00AC6D0B"/>
    <w:rsid w:val="00AC7C28"/>
    <w:rsid w:val="00AD0901"/>
    <w:rsid w:val="00AD1307"/>
    <w:rsid w:val="00AD2059"/>
    <w:rsid w:val="00AD2519"/>
    <w:rsid w:val="00AD2D3D"/>
    <w:rsid w:val="00AD2FC7"/>
    <w:rsid w:val="00AD5438"/>
    <w:rsid w:val="00AD6DD2"/>
    <w:rsid w:val="00AD720D"/>
    <w:rsid w:val="00AD73D5"/>
    <w:rsid w:val="00AE1E6E"/>
    <w:rsid w:val="00AE3B63"/>
    <w:rsid w:val="00AE5C8B"/>
    <w:rsid w:val="00AE6B6D"/>
    <w:rsid w:val="00AE6B77"/>
    <w:rsid w:val="00AE755A"/>
    <w:rsid w:val="00AE76C5"/>
    <w:rsid w:val="00AE7A81"/>
    <w:rsid w:val="00AF11E3"/>
    <w:rsid w:val="00AF1677"/>
    <w:rsid w:val="00AF1A70"/>
    <w:rsid w:val="00AF2790"/>
    <w:rsid w:val="00AF3206"/>
    <w:rsid w:val="00AF34E4"/>
    <w:rsid w:val="00AF3630"/>
    <w:rsid w:val="00AF3BAE"/>
    <w:rsid w:val="00AF3FC4"/>
    <w:rsid w:val="00AF4405"/>
    <w:rsid w:val="00AF470C"/>
    <w:rsid w:val="00AF6BEB"/>
    <w:rsid w:val="00AF7935"/>
    <w:rsid w:val="00AF7BE9"/>
    <w:rsid w:val="00AF7E54"/>
    <w:rsid w:val="00B02125"/>
    <w:rsid w:val="00B02710"/>
    <w:rsid w:val="00B02D7B"/>
    <w:rsid w:val="00B0335F"/>
    <w:rsid w:val="00B058CF"/>
    <w:rsid w:val="00B07A70"/>
    <w:rsid w:val="00B07AA9"/>
    <w:rsid w:val="00B07EFB"/>
    <w:rsid w:val="00B105A1"/>
    <w:rsid w:val="00B117E5"/>
    <w:rsid w:val="00B12C21"/>
    <w:rsid w:val="00B14FF9"/>
    <w:rsid w:val="00B15C6E"/>
    <w:rsid w:val="00B16064"/>
    <w:rsid w:val="00B174E0"/>
    <w:rsid w:val="00B175C8"/>
    <w:rsid w:val="00B20E17"/>
    <w:rsid w:val="00B20FF4"/>
    <w:rsid w:val="00B2257A"/>
    <w:rsid w:val="00B2349F"/>
    <w:rsid w:val="00B23807"/>
    <w:rsid w:val="00B23EEA"/>
    <w:rsid w:val="00B25D2A"/>
    <w:rsid w:val="00B2659B"/>
    <w:rsid w:val="00B26CFD"/>
    <w:rsid w:val="00B30A06"/>
    <w:rsid w:val="00B30B2E"/>
    <w:rsid w:val="00B3132C"/>
    <w:rsid w:val="00B319C6"/>
    <w:rsid w:val="00B33AF5"/>
    <w:rsid w:val="00B33CAF"/>
    <w:rsid w:val="00B33F53"/>
    <w:rsid w:val="00B34420"/>
    <w:rsid w:val="00B3467E"/>
    <w:rsid w:val="00B34A7C"/>
    <w:rsid w:val="00B34AF5"/>
    <w:rsid w:val="00B35C90"/>
    <w:rsid w:val="00B364A9"/>
    <w:rsid w:val="00B36585"/>
    <w:rsid w:val="00B4007A"/>
    <w:rsid w:val="00B40CED"/>
    <w:rsid w:val="00B40E30"/>
    <w:rsid w:val="00B40E81"/>
    <w:rsid w:val="00B40FEF"/>
    <w:rsid w:val="00B427D2"/>
    <w:rsid w:val="00B431F5"/>
    <w:rsid w:val="00B44BE5"/>
    <w:rsid w:val="00B45984"/>
    <w:rsid w:val="00B46A85"/>
    <w:rsid w:val="00B47257"/>
    <w:rsid w:val="00B47518"/>
    <w:rsid w:val="00B50FA8"/>
    <w:rsid w:val="00B50FC8"/>
    <w:rsid w:val="00B52519"/>
    <w:rsid w:val="00B536A1"/>
    <w:rsid w:val="00B53E59"/>
    <w:rsid w:val="00B543DE"/>
    <w:rsid w:val="00B54642"/>
    <w:rsid w:val="00B558C8"/>
    <w:rsid w:val="00B565EC"/>
    <w:rsid w:val="00B567CB"/>
    <w:rsid w:val="00B56A8F"/>
    <w:rsid w:val="00B626DA"/>
    <w:rsid w:val="00B63F11"/>
    <w:rsid w:val="00B64490"/>
    <w:rsid w:val="00B64697"/>
    <w:rsid w:val="00B65971"/>
    <w:rsid w:val="00B66104"/>
    <w:rsid w:val="00B66B17"/>
    <w:rsid w:val="00B66E23"/>
    <w:rsid w:val="00B66FC2"/>
    <w:rsid w:val="00B67140"/>
    <w:rsid w:val="00B67148"/>
    <w:rsid w:val="00B67ED7"/>
    <w:rsid w:val="00B70C67"/>
    <w:rsid w:val="00B71637"/>
    <w:rsid w:val="00B72859"/>
    <w:rsid w:val="00B735C4"/>
    <w:rsid w:val="00B74427"/>
    <w:rsid w:val="00B75AE1"/>
    <w:rsid w:val="00B75D40"/>
    <w:rsid w:val="00B8170E"/>
    <w:rsid w:val="00B82217"/>
    <w:rsid w:val="00B84CC3"/>
    <w:rsid w:val="00B84FA6"/>
    <w:rsid w:val="00B8537A"/>
    <w:rsid w:val="00B86904"/>
    <w:rsid w:val="00B9085F"/>
    <w:rsid w:val="00B90875"/>
    <w:rsid w:val="00B91C00"/>
    <w:rsid w:val="00B9228E"/>
    <w:rsid w:val="00B927AB"/>
    <w:rsid w:val="00B92E03"/>
    <w:rsid w:val="00B9400C"/>
    <w:rsid w:val="00B952DD"/>
    <w:rsid w:val="00B96B5A"/>
    <w:rsid w:val="00B97BB5"/>
    <w:rsid w:val="00B97E53"/>
    <w:rsid w:val="00BA01DC"/>
    <w:rsid w:val="00BA1349"/>
    <w:rsid w:val="00BA161F"/>
    <w:rsid w:val="00BA1CC6"/>
    <w:rsid w:val="00BA3347"/>
    <w:rsid w:val="00BA4E9F"/>
    <w:rsid w:val="00BA5CA1"/>
    <w:rsid w:val="00BA6332"/>
    <w:rsid w:val="00BA6AE3"/>
    <w:rsid w:val="00BA6BD3"/>
    <w:rsid w:val="00BB1696"/>
    <w:rsid w:val="00BB1AA6"/>
    <w:rsid w:val="00BB2242"/>
    <w:rsid w:val="00BB2BCD"/>
    <w:rsid w:val="00BB31D6"/>
    <w:rsid w:val="00BB3A9A"/>
    <w:rsid w:val="00BB5569"/>
    <w:rsid w:val="00BB5692"/>
    <w:rsid w:val="00BB6ADC"/>
    <w:rsid w:val="00BB7FD5"/>
    <w:rsid w:val="00BC0969"/>
    <w:rsid w:val="00BC1D68"/>
    <w:rsid w:val="00BC2355"/>
    <w:rsid w:val="00BC3FFD"/>
    <w:rsid w:val="00BC488B"/>
    <w:rsid w:val="00BC536F"/>
    <w:rsid w:val="00BC53D9"/>
    <w:rsid w:val="00BC5DEA"/>
    <w:rsid w:val="00BC5E2E"/>
    <w:rsid w:val="00BD1516"/>
    <w:rsid w:val="00BD1DA4"/>
    <w:rsid w:val="00BD1F45"/>
    <w:rsid w:val="00BD2189"/>
    <w:rsid w:val="00BD2B68"/>
    <w:rsid w:val="00BD35A3"/>
    <w:rsid w:val="00BD4163"/>
    <w:rsid w:val="00BD5179"/>
    <w:rsid w:val="00BE0BA4"/>
    <w:rsid w:val="00BE0BF9"/>
    <w:rsid w:val="00BE158E"/>
    <w:rsid w:val="00BE19FC"/>
    <w:rsid w:val="00BE27C8"/>
    <w:rsid w:val="00BE3CAB"/>
    <w:rsid w:val="00BE3F84"/>
    <w:rsid w:val="00BE3FDC"/>
    <w:rsid w:val="00BE4F30"/>
    <w:rsid w:val="00BE520A"/>
    <w:rsid w:val="00BE5EEA"/>
    <w:rsid w:val="00BE646B"/>
    <w:rsid w:val="00BE650B"/>
    <w:rsid w:val="00BE65F8"/>
    <w:rsid w:val="00BE6700"/>
    <w:rsid w:val="00BE6CBD"/>
    <w:rsid w:val="00BF1F34"/>
    <w:rsid w:val="00BF2768"/>
    <w:rsid w:val="00BF4214"/>
    <w:rsid w:val="00BF462E"/>
    <w:rsid w:val="00BF5651"/>
    <w:rsid w:val="00BF587D"/>
    <w:rsid w:val="00BF5FE7"/>
    <w:rsid w:val="00BF64C1"/>
    <w:rsid w:val="00C0074E"/>
    <w:rsid w:val="00C01873"/>
    <w:rsid w:val="00C04ACE"/>
    <w:rsid w:val="00C04B28"/>
    <w:rsid w:val="00C04C78"/>
    <w:rsid w:val="00C050A1"/>
    <w:rsid w:val="00C052E9"/>
    <w:rsid w:val="00C06A04"/>
    <w:rsid w:val="00C109E3"/>
    <w:rsid w:val="00C10F42"/>
    <w:rsid w:val="00C1262E"/>
    <w:rsid w:val="00C141D8"/>
    <w:rsid w:val="00C1492F"/>
    <w:rsid w:val="00C16B0C"/>
    <w:rsid w:val="00C16B4C"/>
    <w:rsid w:val="00C16E8E"/>
    <w:rsid w:val="00C17CB8"/>
    <w:rsid w:val="00C20450"/>
    <w:rsid w:val="00C20666"/>
    <w:rsid w:val="00C214FA"/>
    <w:rsid w:val="00C21675"/>
    <w:rsid w:val="00C21CFB"/>
    <w:rsid w:val="00C22C8D"/>
    <w:rsid w:val="00C23126"/>
    <w:rsid w:val="00C23A78"/>
    <w:rsid w:val="00C2417B"/>
    <w:rsid w:val="00C245F1"/>
    <w:rsid w:val="00C24AD0"/>
    <w:rsid w:val="00C25F83"/>
    <w:rsid w:val="00C262BC"/>
    <w:rsid w:val="00C264F6"/>
    <w:rsid w:val="00C2677E"/>
    <w:rsid w:val="00C26C9E"/>
    <w:rsid w:val="00C27D24"/>
    <w:rsid w:val="00C30984"/>
    <w:rsid w:val="00C30FC3"/>
    <w:rsid w:val="00C31DE7"/>
    <w:rsid w:val="00C3205E"/>
    <w:rsid w:val="00C33ACB"/>
    <w:rsid w:val="00C35B2B"/>
    <w:rsid w:val="00C35F6B"/>
    <w:rsid w:val="00C366CE"/>
    <w:rsid w:val="00C36F15"/>
    <w:rsid w:val="00C3752F"/>
    <w:rsid w:val="00C37E97"/>
    <w:rsid w:val="00C40B53"/>
    <w:rsid w:val="00C40F65"/>
    <w:rsid w:val="00C411C6"/>
    <w:rsid w:val="00C44DA0"/>
    <w:rsid w:val="00C45257"/>
    <w:rsid w:val="00C467C3"/>
    <w:rsid w:val="00C474C0"/>
    <w:rsid w:val="00C47573"/>
    <w:rsid w:val="00C476D7"/>
    <w:rsid w:val="00C47B0C"/>
    <w:rsid w:val="00C47B59"/>
    <w:rsid w:val="00C47C5C"/>
    <w:rsid w:val="00C47ECC"/>
    <w:rsid w:val="00C50124"/>
    <w:rsid w:val="00C51897"/>
    <w:rsid w:val="00C52849"/>
    <w:rsid w:val="00C53945"/>
    <w:rsid w:val="00C572AC"/>
    <w:rsid w:val="00C576EA"/>
    <w:rsid w:val="00C57E13"/>
    <w:rsid w:val="00C60BFA"/>
    <w:rsid w:val="00C6181E"/>
    <w:rsid w:val="00C625BD"/>
    <w:rsid w:val="00C62AF1"/>
    <w:rsid w:val="00C64E66"/>
    <w:rsid w:val="00C65466"/>
    <w:rsid w:val="00C67711"/>
    <w:rsid w:val="00C70580"/>
    <w:rsid w:val="00C7298A"/>
    <w:rsid w:val="00C72E28"/>
    <w:rsid w:val="00C742CA"/>
    <w:rsid w:val="00C74B9A"/>
    <w:rsid w:val="00C761AE"/>
    <w:rsid w:val="00C76D73"/>
    <w:rsid w:val="00C77058"/>
    <w:rsid w:val="00C80F3D"/>
    <w:rsid w:val="00C81394"/>
    <w:rsid w:val="00C81C63"/>
    <w:rsid w:val="00C8362E"/>
    <w:rsid w:val="00C83925"/>
    <w:rsid w:val="00C83BA0"/>
    <w:rsid w:val="00C84CF7"/>
    <w:rsid w:val="00C864D6"/>
    <w:rsid w:val="00C864FA"/>
    <w:rsid w:val="00C86820"/>
    <w:rsid w:val="00C87B3B"/>
    <w:rsid w:val="00C87F77"/>
    <w:rsid w:val="00C905ED"/>
    <w:rsid w:val="00C90F8F"/>
    <w:rsid w:val="00C91401"/>
    <w:rsid w:val="00C91CEE"/>
    <w:rsid w:val="00C924F5"/>
    <w:rsid w:val="00C938B8"/>
    <w:rsid w:val="00C93B27"/>
    <w:rsid w:val="00C953C7"/>
    <w:rsid w:val="00C97523"/>
    <w:rsid w:val="00CA114A"/>
    <w:rsid w:val="00CA1A43"/>
    <w:rsid w:val="00CA1CA9"/>
    <w:rsid w:val="00CA1D13"/>
    <w:rsid w:val="00CA2A5B"/>
    <w:rsid w:val="00CA3EB1"/>
    <w:rsid w:val="00CA608A"/>
    <w:rsid w:val="00CA60F2"/>
    <w:rsid w:val="00CA6E91"/>
    <w:rsid w:val="00CA71B7"/>
    <w:rsid w:val="00CA754D"/>
    <w:rsid w:val="00CA7BE8"/>
    <w:rsid w:val="00CB2483"/>
    <w:rsid w:val="00CB2616"/>
    <w:rsid w:val="00CB52DB"/>
    <w:rsid w:val="00CB6825"/>
    <w:rsid w:val="00CB6F97"/>
    <w:rsid w:val="00CC0C35"/>
    <w:rsid w:val="00CC0D1C"/>
    <w:rsid w:val="00CC0DAE"/>
    <w:rsid w:val="00CC1078"/>
    <w:rsid w:val="00CC194E"/>
    <w:rsid w:val="00CC19ED"/>
    <w:rsid w:val="00CC2047"/>
    <w:rsid w:val="00CC239D"/>
    <w:rsid w:val="00CC2660"/>
    <w:rsid w:val="00CC3522"/>
    <w:rsid w:val="00CC402D"/>
    <w:rsid w:val="00CC4D81"/>
    <w:rsid w:val="00CC5208"/>
    <w:rsid w:val="00CC536A"/>
    <w:rsid w:val="00CC5979"/>
    <w:rsid w:val="00CC5F48"/>
    <w:rsid w:val="00CC72DB"/>
    <w:rsid w:val="00CC7DA8"/>
    <w:rsid w:val="00CD0402"/>
    <w:rsid w:val="00CD07CF"/>
    <w:rsid w:val="00CD1869"/>
    <w:rsid w:val="00CD1C0D"/>
    <w:rsid w:val="00CD2645"/>
    <w:rsid w:val="00CD275E"/>
    <w:rsid w:val="00CD3103"/>
    <w:rsid w:val="00CD3157"/>
    <w:rsid w:val="00CD4358"/>
    <w:rsid w:val="00CD6282"/>
    <w:rsid w:val="00CD6A91"/>
    <w:rsid w:val="00CE04BF"/>
    <w:rsid w:val="00CE17B7"/>
    <w:rsid w:val="00CE2EAC"/>
    <w:rsid w:val="00CE48C4"/>
    <w:rsid w:val="00CE4B63"/>
    <w:rsid w:val="00CE4F10"/>
    <w:rsid w:val="00CE51B8"/>
    <w:rsid w:val="00CE6B59"/>
    <w:rsid w:val="00CE7995"/>
    <w:rsid w:val="00CF014C"/>
    <w:rsid w:val="00CF25C2"/>
    <w:rsid w:val="00CF2FC5"/>
    <w:rsid w:val="00CF3471"/>
    <w:rsid w:val="00CF350E"/>
    <w:rsid w:val="00CF3949"/>
    <w:rsid w:val="00CF3B36"/>
    <w:rsid w:val="00CF4933"/>
    <w:rsid w:val="00CF4CDA"/>
    <w:rsid w:val="00CF4F51"/>
    <w:rsid w:val="00CF597A"/>
    <w:rsid w:val="00CF5988"/>
    <w:rsid w:val="00CF7D65"/>
    <w:rsid w:val="00D00590"/>
    <w:rsid w:val="00D01EA5"/>
    <w:rsid w:val="00D0246C"/>
    <w:rsid w:val="00D02884"/>
    <w:rsid w:val="00D029AE"/>
    <w:rsid w:val="00D029D0"/>
    <w:rsid w:val="00D02AA9"/>
    <w:rsid w:val="00D03A30"/>
    <w:rsid w:val="00D03CAF"/>
    <w:rsid w:val="00D04439"/>
    <w:rsid w:val="00D04508"/>
    <w:rsid w:val="00D045C1"/>
    <w:rsid w:val="00D0594E"/>
    <w:rsid w:val="00D062CF"/>
    <w:rsid w:val="00D06316"/>
    <w:rsid w:val="00D10828"/>
    <w:rsid w:val="00D10F2B"/>
    <w:rsid w:val="00D11770"/>
    <w:rsid w:val="00D119FC"/>
    <w:rsid w:val="00D1225F"/>
    <w:rsid w:val="00D123CF"/>
    <w:rsid w:val="00D1293A"/>
    <w:rsid w:val="00D12E0C"/>
    <w:rsid w:val="00D13357"/>
    <w:rsid w:val="00D13487"/>
    <w:rsid w:val="00D13AAE"/>
    <w:rsid w:val="00D13AB3"/>
    <w:rsid w:val="00D1433C"/>
    <w:rsid w:val="00D16F61"/>
    <w:rsid w:val="00D171AC"/>
    <w:rsid w:val="00D17AE5"/>
    <w:rsid w:val="00D20154"/>
    <w:rsid w:val="00D23217"/>
    <w:rsid w:val="00D2326B"/>
    <w:rsid w:val="00D239C6"/>
    <w:rsid w:val="00D23EDC"/>
    <w:rsid w:val="00D24578"/>
    <w:rsid w:val="00D2517A"/>
    <w:rsid w:val="00D257C7"/>
    <w:rsid w:val="00D26C84"/>
    <w:rsid w:val="00D30E2E"/>
    <w:rsid w:val="00D319D6"/>
    <w:rsid w:val="00D31AE7"/>
    <w:rsid w:val="00D32DC4"/>
    <w:rsid w:val="00D331E4"/>
    <w:rsid w:val="00D3395C"/>
    <w:rsid w:val="00D33D03"/>
    <w:rsid w:val="00D35B31"/>
    <w:rsid w:val="00D36222"/>
    <w:rsid w:val="00D373A3"/>
    <w:rsid w:val="00D37567"/>
    <w:rsid w:val="00D40AF3"/>
    <w:rsid w:val="00D4259B"/>
    <w:rsid w:val="00D4359E"/>
    <w:rsid w:val="00D43FC5"/>
    <w:rsid w:val="00D4447C"/>
    <w:rsid w:val="00D449FC"/>
    <w:rsid w:val="00D46427"/>
    <w:rsid w:val="00D476AC"/>
    <w:rsid w:val="00D4771D"/>
    <w:rsid w:val="00D50672"/>
    <w:rsid w:val="00D5124B"/>
    <w:rsid w:val="00D51A6F"/>
    <w:rsid w:val="00D53CDE"/>
    <w:rsid w:val="00D55666"/>
    <w:rsid w:val="00D56811"/>
    <w:rsid w:val="00D56C34"/>
    <w:rsid w:val="00D57A04"/>
    <w:rsid w:val="00D57EEE"/>
    <w:rsid w:val="00D6118C"/>
    <w:rsid w:val="00D6135D"/>
    <w:rsid w:val="00D61C19"/>
    <w:rsid w:val="00D62140"/>
    <w:rsid w:val="00D63BA9"/>
    <w:rsid w:val="00D64A1A"/>
    <w:rsid w:val="00D6515D"/>
    <w:rsid w:val="00D6547E"/>
    <w:rsid w:val="00D65F03"/>
    <w:rsid w:val="00D67633"/>
    <w:rsid w:val="00D72A51"/>
    <w:rsid w:val="00D72AF0"/>
    <w:rsid w:val="00D72C49"/>
    <w:rsid w:val="00D72FCD"/>
    <w:rsid w:val="00D72FE9"/>
    <w:rsid w:val="00D753CD"/>
    <w:rsid w:val="00D758B4"/>
    <w:rsid w:val="00D76322"/>
    <w:rsid w:val="00D763F6"/>
    <w:rsid w:val="00D82594"/>
    <w:rsid w:val="00D84096"/>
    <w:rsid w:val="00D8463B"/>
    <w:rsid w:val="00D858CE"/>
    <w:rsid w:val="00D86708"/>
    <w:rsid w:val="00D86BEE"/>
    <w:rsid w:val="00D86C88"/>
    <w:rsid w:val="00D9271A"/>
    <w:rsid w:val="00D936E3"/>
    <w:rsid w:val="00D93901"/>
    <w:rsid w:val="00D93D49"/>
    <w:rsid w:val="00D93F73"/>
    <w:rsid w:val="00D93FCF"/>
    <w:rsid w:val="00D9410D"/>
    <w:rsid w:val="00D944C8"/>
    <w:rsid w:val="00D94CBD"/>
    <w:rsid w:val="00D96349"/>
    <w:rsid w:val="00D970B0"/>
    <w:rsid w:val="00D9790A"/>
    <w:rsid w:val="00DA0A82"/>
    <w:rsid w:val="00DA0D05"/>
    <w:rsid w:val="00DA1277"/>
    <w:rsid w:val="00DA17A2"/>
    <w:rsid w:val="00DA22EC"/>
    <w:rsid w:val="00DA3BE9"/>
    <w:rsid w:val="00DA4170"/>
    <w:rsid w:val="00DA4C9A"/>
    <w:rsid w:val="00DA5C53"/>
    <w:rsid w:val="00DA5C9F"/>
    <w:rsid w:val="00DA6BF0"/>
    <w:rsid w:val="00DB0364"/>
    <w:rsid w:val="00DB0B57"/>
    <w:rsid w:val="00DB1024"/>
    <w:rsid w:val="00DB181E"/>
    <w:rsid w:val="00DB29D3"/>
    <w:rsid w:val="00DB3F43"/>
    <w:rsid w:val="00DB6472"/>
    <w:rsid w:val="00DC022D"/>
    <w:rsid w:val="00DC2F1E"/>
    <w:rsid w:val="00DC3EB2"/>
    <w:rsid w:val="00DC4E50"/>
    <w:rsid w:val="00DC6AD2"/>
    <w:rsid w:val="00DC7876"/>
    <w:rsid w:val="00DC7B30"/>
    <w:rsid w:val="00DD3932"/>
    <w:rsid w:val="00DD42A7"/>
    <w:rsid w:val="00DD4955"/>
    <w:rsid w:val="00DD4B4A"/>
    <w:rsid w:val="00DD4B75"/>
    <w:rsid w:val="00DD5B33"/>
    <w:rsid w:val="00DD73AF"/>
    <w:rsid w:val="00DD77B3"/>
    <w:rsid w:val="00DE04E8"/>
    <w:rsid w:val="00DE43D2"/>
    <w:rsid w:val="00DE5ECE"/>
    <w:rsid w:val="00DE6AA4"/>
    <w:rsid w:val="00DE6D59"/>
    <w:rsid w:val="00DE6DF6"/>
    <w:rsid w:val="00DE702C"/>
    <w:rsid w:val="00DE7749"/>
    <w:rsid w:val="00DE786A"/>
    <w:rsid w:val="00DF04AA"/>
    <w:rsid w:val="00DF082F"/>
    <w:rsid w:val="00DF0CCF"/>
    <w:rsid w:val="00DF23E7"/>
    <w:rsid w:val="00DF312C"/>
    <w:rsid w:val="00DF3427"/>
    <w:rsid w:val="00DF49A1"/>
    <w:rsid w:val="00DF5433"/>
    <w:rsid w:val="00DF55EF"/>
    <w:rsid w:val="00DF6A1D"/>
    <w:rsid w:val="00DF6C1D"/>
    <w:rsid w:val="00DF70BC"/>
    <w:rsid w:val="00DF7170"/>
    <w:rsid w:val="00E000F8"/>
    <w:rsid w:val="00E015FF"/>
    <w:rsid w:val="00E018BF"/>
    <w:rsid w:val="00E01D3F"/>
    <w:rsid w:val="00E04172"/>
    <w:rsid w:val="00E05FF7"/>
    <w:rsid w:val="00E07715"/>
    <w:rsid w:val="00E078FB"/>
    <w:rsid w:val="00E107A0"/>
    <w:rsid w:val="00E109BB"/>
    <w:rsid w:val="00E10F28"/>
    <w:rsid w:val="00E12076"/>
    <w:rsid w:val="00E120BA"/>
    <w:rsid w:val="00E128EB"/>
    <w:rsid w:val="00E12F68"/>
    <w:rsid w:val="00E134FF"/>
    <w:rsid w:val="00E13BD0"/>
    <w:rsid w:val="00E14741"/>
    <w:rsid w:val="00E150AC"/>
    <w:rsid w:val="00E150FB"/>
    <w:rsid w:val="00E15194"/>
    <w:rsid w:val="00E15542"/>
    <w:rsid w:val="00E16A46"/>
    <w:rsid w:val="00E16D82"/>
    <w:rsid w:val="00E17139"/>
    <w:rsid w:val="00E20BED"/>
    <w:rsid w:val="00E21820"/>
    <w:rsid w:val="00E228D4"/>
    <w:rsid w:val="00E22A31"/>
    <w:rsid w:val="00E22AED"/>
    <w:rsid w:val="00E230C9"/>
    <w:rsid w:val="00E251EC"/>
    <w:rsid w:val="00E25B01"/>
    <w:rsid w:val="00E25D24"/>
    <w:rsid w:val="00E26AC8"/>
    <w:rsid w:val="00E26B0F"/>
    <w:rsid w:val="00E277F8"/>
    <w:rsid w:val="00E2791B"/>
    <w:rsid w:val="00E31A69"/>
    <w:rsid w:val="00E32177"/>
    <w:rsid w:val="00E325DC"/>
    <w:rsid w:val="00E378B8"/>
    <w:rsid w:val="00E37EEC"/>
    <w:rsid w:val="00E40639"/>
    <w:rsid w:val="00E4076F"/>
    <w:rsid w:val="00E40A0F"/>
    <w:rsid w:val="00E41262"/>
    <w:rsid w:val="00E41298"/>
    <w:rsid w:val="00E41CE8"/>
    <w:rsid w:val="00E42286"/>
    <w:rsid w:val="00E43468"/>
    <w:rsid w:val="00E462D6"/>
    <w:rsid w:val="00E46E10"/>
    <w:rsid w:val="00E50175"/>
    <w:rsid w:val="00E50538"/>
    <w:rsid w:val="00E51D02"/>
    <w:rsid w:val="00E523B8"/>
    <w:rsid w:val="00E5473A"/>
    <w:rsid w:val="00E5480A"/>
    <w:rsid w:val="00E557A8"/>
    <w:rsid w:val="00E55899"/>
    <w:rsid w:val="00E55C47"/>
    <w:rsid w:val="00E572A4"/>
    <w:rsid w:val="00E575C9"/>
    <w:rsid w:val="00E6194F"/>
    <w:rsid w:val="00E62768"/>
    <w:rsid w:val="00E62C12"/>
    <w:rsid w:val="00E64247"/>
    <w:rsid w:val="00E66B90"/>
    <w:rsid w:val="00E67032"/>
    <w:rsid w:val="00E670AA"/>
    <w:rsid w:val="00E70633"/>
    <w:rsid w:val="00E70EC9"/>
    <w:rsid w:val="00E711A5"/>
    <w:rsid w:val="00E720A9"/>
    <w:rsid w:val="00E7223B"/>
    <w:rsid w:val="00E729CC"/>
    <w:rsid w:val="00E72E6C"/>
    <w:rsid w:val="00E730CB"/>
    <w:rsid w:val="00E7353F"/>
    <w:rsid w:val="00E7467E"/>
    <w:rsid w:val="00E74F1C"/>
    <w:rsid w:val="00E751B3"/>
    <w:rsid w:val="00E75852"/>
    <w:rsid w:val="00E76B48"/>
    <w:rsid w:val="00E77D5E"/>
    <w:rsid w:val="00E801CC"/>
    <w:rsid w:val="00E8065F"/>
    <w:rsid w:val="00E82041"/>
    <w:rsid w:val="00E82596"/>
    <w:rsid w:val="00E83997"/>
    <w:rsid w:val="00E83FFD"/>
    <w:rsid w:val="00E84E2D"/>
    <w:rsid w:val="00E85D8C"/>
    <w:rsid w:val="00E85F96"/>
    <w:rsid w:val="00E86451"/>
    <w:rsid w:val="00E87267"/>
    <w:rsid w:val="00E87E7C"/>
    <w:rsid w:val="00E90F74"/>
    <w:rsid w:val="00E921F0"/>
    <w:rsid w:val="00E94A72"/>
    <w:rsid w:val="00E9757E"/>
    <w:rsid w:val="00E97CA3"/>
    <w:rsid w:val="00E97D14"/>
    <w:rsid w:val="00EA0546"/>
    <w:rsid w:val="00EA0CD6"/>
    <w:rsid w:val="00EA1199"/>
    <w:rsid w:val="00EA2198"/>
    <w:rsid w:val="00EA239A"/>
    <w:rsid w:val="00EA3DCA"/>
    <w:rsid w:val="00EA4139"/>
    <w:rsid w:val="00EA5F29"/>
    <w:rsid w:val="00EA62FE"/>
    <w:rsid w:val="00EA75EE"/>
    <w:rsid w:val="00EB024C"/>
    <w:rsid w:val="00EB1745"/>
    <w:rsid w:val="00EB2990"/>
    <w:rsid w:val="00EB3864"/>
    <w:rsid w:val="00EB3E3F"/>
    <w:rsid w:val="00EB4496"/>
    <w:rsid w:val="00EB4CCC"/>
    <w:rsid w:val="00EB523A"/>
    <w:rsid w:val="00EB6004"/>
    <w:rsid w:val="00EB7D5D"/>
    <w:rsid w:val="00EB7DA1"/>
    <w:rsid w:val="00EC000C"/>
    <w:rsid w:val="00EC0674"/>
    <w:rsid w:val="00EC097D"/>
    <w:rsid w:val="00EC1081"/>
    <w:rsid w:val="00EC329F"/>
    <w:rsid w:val="00EC5B7D"/>
    <w:rsid w:val="00EC6E54"/>
    <w:rsid w:val="00EC71AE"/>
    <w:rsid w:val="00EC784E"/>
    <w:rsid w:val="00ED064B"/>
    <w:rsid w:val="00ED0F26"/>
    <w:rsid w:val="00ED106F"/>
    <w:rsid w:val="00ED1DA6"/>
    <w:rsid w:val="00ED2880"/>
    <w:rsid w:val="00ED5F6A"/>
    <w:rsid w:val="00ED6DCA"/>
    <w:rsid w:val="00ED6FCF"/>
    <w:rsid w:val="00EE1D11"/>
    <w:rsid w:val="00EE2925"/>
    <w:rsid w:val="00EE2CF9"/>
    <w:rsid w:val="00EE2D67"/>
    <w:rsid w:val="00EE3475"/>
    <w:rsid w:val="00EE4ACD"/>
    <w:rsid w:val="00EE535E"/>
    <w:rsid w:val="00EE69A4"/>
    <w:rsid w:val="00EE7FB4"/>
    <w:rsid w:val="00EF1237"/>
    <w:rsid w:val="00EF1409"/>
    <w:rsid w:val="00EF1953"/>
    <w:rsid w:val="00EF2AFD"/>
    <w:rsid w:val="00EF3614"/>
    <w:rsid w:val="00EF43A7"/>
    <w:rsid w:val="00EF541D"/>
    <w:rsid w:val="00EF5792"/>
    <w:rsid w:val="00EF58F2"/>
    <w:rsid w:val="00EF6055"/>
    <w:rsid w:val="00EF6C45"/>
    <w:rsid w:val="00EF6DCF"/>
    <w:rsid w:val="00EF7A1D"/>
    <w:rsid w:val="00F03097"/>
    <w:rsid w:val="00F10351"/>
    <w:rsid w:val="00F104C1"/>
    <w:rsid w:val="00F110D9"/>
    <w:rsid w:val="00F11CA3"/>
    <w:rsid w:val="00F12490"/>
    <w:rsid w:val="00F135C9"/>
    <w:rsid w:val="00F13F0B"/>
    <w:rsid w:val="00F1453B"/>
    <w:rsid w:val="00F14C84"/>
    <w:rsid w:val="00F15A56"/>
    <w:rsid w:val="00F15EEC"/>
    <w:rsid w:val="00F169C4"/>
    <w:rsid w:val="00F16F8C"/>
    <w:rsid w:val="00F17303"/>
    <w:rsid w:val="00F176E6"/>
    <w:rsid w:val="00F1782B"/>
    <w:rsid w:val="00F17C89"/>
    <w:rsid w:val="00F21C73"/>
    <w:rsid w:val="00F234F6"/>
    <w:rsid w:val="00F239C2"/>
    <w:rsid w:val="00F24491"/>
    <w:rsid w:val="00F25C08"/>
    <w:rsid w:val="00F27A62"/>
    <w:rsid w:val="00F27E8D"/>
    <w:rsid w:val="00F30DB8"/>
    <w:rsid w:val="00F30FA4"/>
    <w:rsid w:val="00F3162E"/>
    <w:rsid w:val="00F31D9B"/>
    <w:rsid w:val="00F31E0A"/>
    <w:rsid w:val="00F32548"/>
    <w:rsid w:val="00F33B8F"/>
    <w:rsid w:val="00F343D7"/>
    <w:rsid w:val="00F34A10"/>
    <w:rsid w:val="00F365B3"/>
    <w:rsid w:val="00F371F2"/>
    <w:rsid w:val="00F37EEF"/>
    <w:rsid w:val="00F4221F"/>
    <w:rsid w:val="00F4257D"/>
    <w:rsid w:val="00F4332F"/>
    <w:rsid w:val="00F4408F"/>
    <w:rsid w:val="00F44E4D"/>
    <w:rsid w:val="00F457F9"/>
    <w:rsid w:val="00F45C64"/>
    <w:rsid w:val="00F46381"/>
    <w:rsid w:val="00F46A78"/>
    <w:rsid w:val="00F47DCC"/>
    <w:rsid w:val="00F52AB8"/>
    <w:rsid w:val="00F53716"/>
    <w:rsid w:val="00F53A3C"/>
    <w:rsid w:val="00F54323"/>
    <w:rsid w:val="00F54AA6"/>
    <w:rsid w:val="00F54F93"/>
    <w:rsid w:val="00F569B6"/>
    <w:rsid w:val="00F602BB"/>
    <w:rsid w:val="00F627FB"/>
    <w:rsid w:val="00F638BE"/>
    <w:rsid w:val="00F63C71"/>
    <w:rsid w:val="00F64B95"/>
    <w:rsid w:val="00F652D2"/>
    <w:rsid w:val="00F6758C"/>
    <w:rsid w:val="00F67696"/>
    <w:rsid w:val="00F7066D"/>
    <w:rsid w:val="00F710AE"/>
    <w:rsid w:val="00F715B4"/>
    <w:rsid w:val="00F71E55"/>
    <w:rsid w:val="00F73185"/>
    <w:rsid w:val="00F73344"/>
    <w:rsid w:val="00F74164"/>
    <w:rsid w:val="00F74EEB"/>
    <w:rsid w:val="00F76853"/>
    <w:rsid w:val="00F769DF"/>
    <w:rsid w:val="00F814DF"/>
    <w:rsid w:val="00F824A4"/>
    <w:rsid w:val="00F82F9B"/>
    <w:rsid w:val="00F835C8"/>
    <w:rsid w:val="00F85B30"/>
    <w:rsid w:val="00F865F9"/>
    <w:rsid w:val="00F866EF"/>
    <w:rsid w:val="00F8779A"/>
    <w:rsid w:val="00F87FD3"/>
    <w:rsid w:val="00F914B7"/>
    <w:rsid w:val="00F927FD"/>
    <w:rsid w:val="00F93332"/>
    <w:rsid w:val="00F9559D"/>
    <w:rsid w:val="00F95A9F"/>
    <w:rsid w:val="00F95E41"/>
    <w:rsid w:val="00F967ED"/>
    <w:rsid w:val="00F97659"/>
    <w:rsid w:val="00F97F1B"/>
    <w:rsid w:val="00FA3DD2"/>
    <w:rsid w:val="00FA403F"/>
    <w:rsid w:val="00FA457C"/>
    <w:rsid w:val="00FA4E09"/>
    <w:rsid w:val="00FA5359"/>
    <w:rsid w:val="00FA6463"/>
    <w:rsid w:val="00FB0BA3"/>
    <w:rsid w:val="00FB174A"/>
    <w:rsid w:val="00FB1A8F"/>
    <w:rsid w:val="00FB2118"/>
    <w:rsid w:val="00FB261E"/>
    <w:rsid w:val="00FB3476"/>
    <w:rsid w:val="00FB3F89"/>
    <w:rsid w:val="00FB4117"/>
    <w:rsid w:val="00FB4A09"/>
    <w:rsid w:val="00FB5C9F"/>
    <w:rsid w:val="00FB6384"/>
    <w:rsid w:val="00FB679C"/>
    <w:rsid w:val="00FB6C68"/>
    <w:rsid w:val="00FB753B"/>
    <w:rsid w:val="00FC0F3C"/>
    <w:rsid w:val="00FC26F0"/>
    <w:rsid w:val="00FC2C20"/>
    <w:rsid w:val="00FC31FC"/>
    <w:rsid w:val="00FC3586"/>
    <w:rsid w:val="00FC4593"/>
    <w:rsid w:val="00FC6EB8"/>
    <w:rsid w:val="00FD0013"/>
    <w:rsid w:val="00FD0E70"/>
    <w:rsid w:val="00FD12F0"/>
    <w:rsid w:val="00FD2146"/>
    <w:rsid w:val="00FD3C5E"/>
    <w:rsid w:val="00FD3D39"/>
    <w:rsid w:val="00FD55BD"/>
    <w:rsid w:val="00FD5D75"/>
    <w:rsid w:val="00FD7DAB"/>
    <w:rsid w:val="00FD7E06"/>
    <w:rsid w:val="00FE010C"/>
    <w:rsid w:val="00FE0457"/>
    <w:rsid w:val="00FE08B2"/>
    <w:rsid w:val="00FE1ADC"/>
    <w:rsid w:val="00FE1ECE"/>
    <w:rsid w:val="00FE328D"/>
    <w:rsid w:val="00FE45D4"/>
    <w:rsid w:val="00FE482A"/>
    <w:rsid w:val="00FE5110"/>
    <w:rsid w:val="00FE5D77"/>
    <w:rsid w:val="00FE77C3"/>
    <w:rsid w:val="00FE7907"/>
    <w:rsid w:val="00FF13B4"/>
    <w:rsid w:val="00FF4D44"/>
    <w:rsid w:val="00FF4E15"/>
    <w:rsid w:val="00FF57CC"/>
    <w:rsid w:val="00FF69DF"/>
    <w:rsid w:val="00FF6CF6"/>
    <w:rsid w:val="00FF7BD9"/>
    <w:rsid w:val="0108714A"/>
    <w:rsid w:val="011C4E49"/>
    <w:rsid w:val="0136732D"/>
    <w:rsid w:val="01657C13"/>
    <w:rsid w:val="01866A23"/>
    <w:rsid w:val="019D36C3"/>
    <w:rsid w:val="01CA3F1A"/>
    <w:rsid w:val="02486BED"/>
    <w:rsid w:val="02B05971"/>
    <w:rsid w:val="02B250DA"/>
    <w:rsid w:val="02C92423"/>
    <w:rsid w:val="02D45050"/>
    <w:rsid w:val="02E64D83"/>
    <w:rsid w:val="02E76099"/>
    <w:rsid w:val="02EB1231"/>
    <w:rsid w:val="0317318F"/>
    <w:rsid w:val="0332621A"/>
    <w:rsid w:val="034036E2"/>
    <w:rsid w:val="03411FB9"/>
    <w:rsid w:val="036C34DA"/>
    <w:rsid w:val="03802AE2"/>
    <w:rsid w:val="039B08E6"/>
    <w:rsid w:val="039B791C"/>
    <w:rsid w:val="03AC1B29"/>
    <w:rsid w:val="03BD623A"/>
    <w:rsid w:val="042C766B"/>
    <w:rsid w:val="04876212"/>
    <w:rsid w:val="04932CE9"/>
    <w:rsid w:val="04934A97"/>
    <w:rsid w:val="04A10F62"/>
    <w:rsid w:val="04C223E3"/>
    <w:rsid w:val="04E11CA6"/>
    <w:rsid w:val="04F43FC9"/>
    <w:rsid w:val="05177476"/>
    <w:rsid w:val="051B3B4C"/>
    <w:rsid w:val="05740424"/>
    <w:rsid w:val="05B4242B"/>
    <w:rsid w:val="05CE3F45"/>
    <w:rsid w:val="05F50593"/>
    <w:rsid w:val="069943F6"/>
    <w:rsid w:val="06F537E7"/>
    <w:rsid w:val="070B4DB8"/>
    <w:rsid w:val="072365A6"/>
    <w:rsid w:val="07291CE2"/>
    <w:rsid w:val="072C0C6B"/>
    <w:rsid w:val="073F44E1"/>
    <w:rsid w:val="076F3599"/>
    <w:rsid w:val="078A5EE8"/>
    <w:rsid w:val="07945A7A"/>
    <w:rsid w:val="079923C4"/>
    <w:rsid w:val="079B0B52"/>
    <w:rsid w:val="07BA0D1B"/>
    <w:rsid w:val="07C812F5"/>
    <w:rsid w:val="07CA07CF"/>
    <w:rsid w:val="07D86362"/>
    <w:rsid w:val="07E44985"/>
    <w:rsid w:val="07EA2C20"/>
    <w:rsid w:val="07FC1A90"/>
    <w:rsid w:val="0827135F"/>
    <w:rsid w:val="083F552C"/>
    <w:rsid w:val="08940DDD"/>
    <w:rsid w:val="08DB33EE"/>
    <w:rsid w:val="08E2145F"/>
    <w:rsid w:val="09297778"/>
    <w:rsid w:val="092C7268"/>
    <w:rsid w:val="09420839"/>
    <w:rsid w:val="094822F4"/>
    <w:rsid w:val="09630EDC"/>
    <w:rsid w:val="09970B85"/>
    <w:rsid w:val="09C851E3"/>
    <w:rsid w:val="0A1221A9"/>
    <w:rsid w:val="0A4A209B"/>
    <w:rsid w:val="0A5132CE"/>
    <w:rsid w:val="0A933D67"/>
    <w:rsid w:val="0A9652E1"/>
    <w:rsid w:val="0B3C1BE7"/>
    <w:rsid w:val="0B4A6B12"/>
    <w:rsid w:val="0B6C7DF0"/>
    <w:rsid w:val="0B811AED"/>
    <w:rsid w:val="0B8D66E4"/>
    <w:rsid w:val="0B966BBB"/>
    <w:rsid w:val="0BA210BE"/>
    <w:rsid w:val="0BFE2BC2"/>
    <w:rsid w:val="0C193E15"/>
    <w:rsid w:val="0C252478"/>
    <w:rsid w:val="0C371612"/>
    <w:rsid w:val="0C3B1C9C"/>
    <w:rsid w:val="0C511182"/>
    <w:rsid w:val="0CB40C3B"/>
    <w:rsid w:val="0CCB6973"/>
    <w:rsid w:val="0CFF3FE7"/>
    <w:rsid w:val="0D004C93"/>
    <w:rsid w:val="0D26294C"/>
    <w:rsid w:val="0D4D5C1F"/>
    <w:rsid w:val="0D662D48"/>
    <w:rsid w:val="0D9449F1"/>
    <w:rsid w:val="0E2A3A51"/>
    <w:rsid w:val="0E603C3C"/>
    <w:rsid w:val="0E6574A4"/>
    <w:rsid w:val="0E6B438E"/>
    <w:rsid w:val="0E701718"/>
    <w:rsid w:val="0E937DF0"/>
    <w:rsid w:val="0EA855E3"/>
    <w:rsid w:val="0EC65D78"/>
    <w:rsid w:val="0EC95C85"/>
    <w:rsid w:val="0F0C3DC3"/>
    <w:rsid w:val="0F0F7410"/>
    <w:rsid w:val="0F182768"/>
    <w:rsid w:val="0F6B3EFD"/>
    <w:rsid w:val="0F7F00F1"/>
    <w:rsid w:val="0F96368D"/>
    <w:rsid w:val="0F9F2542"/>
    <w:rsid w:val="0FA61B22"/>
    <w:rsid w:val="0FC85F3C"/>
    <w:rsid w:val="10022AD1"/>
    <w:rsid w:val="104B091B"/>
    <w:rsid w:val="10DD5A17"/>
    <w:rsid w:val="10E92CE8"/>
    <w:rsid w:val="10EA0134"/>
    <w:rsid w:val="1102547E"/>
    <w:rsid w:val="115203B1"/>
    <w:rsid w:val="118D27FA"/>
    <w:rsid w:val="11B61DC5"/>
    <w:rsid w:val="11BF0120"/>
    <w:rsid w:val="11C6025A"/>
    <w:rsid w:val="11D010D8"/>
    <w:rsid w:val="11E20E0C"/>
    <w:rsid w:val="11F34DC7"/>
    <w:rsid w:val="121D1E44"/>
    <w:rsid w:val="121E62E8"/>
    <w:rsid w:val="12435F15"/>
    <w:rsid w:val="124D2729"/>
    <w:rsid w:val="125D0492"/>
    <w:rsid w:val="12687563"/>
    <w:rsid w:val="12EA74F2"/>
    <w:rsid w:val="12EE08A5"/>
    <w:rsid w:val="13371EAA"/>
    <w:rsid w:val="133E6515"/>
    <w:rsid w:val="134E3E04"/>
    <w:rsid w:val="136F1274"/>
    <w:rsid w:val="1376180B"/>
    <w:rsid w:val="138228A6"/>
    <w:rsid w:val="13A46379"/>
    <w:rsid w:val="13BD7A6C"/>
    <w:rsid w:val="13D95FA0"/>
    <w:rsid w:val="142B0848"/>
    <w:rsid w:val="14353475"/>
    <w:rsid w:val="14C64A14"/>
    <w:rsid w:val="14CA7638"/>
    <w:rsid w:val="150C091F"/>
    <w:rsid w:val="150D619F"/>
    <w:rsid w:val="151E65FF"/>
    <w:rsid w:val="154C1628"/>
    <w:rsid w:val="155913E5"/>
    <w:rsid w:val="156411DA"/>
    <w:rsid w:val="15AF54A9"/>
    <w:rsid w:val="15BB66F8"/>
    <w:rsid w:val="15D60C87"/>
    <w:rsid w:val="15D807C3"/>
    <w:rsid w:val="15E909BB"/>
    <w:rsid w:val="15FF66D9"/>
    <w:rsid w:val="160564EA"/>
    <w:rsid w:val="16120EE8"/>
    <w:rsid w:val="161377E5"/>
    <w:rsid w:val="162E0AC3"/>
    <w:rsid w:val="163E27C9"/>
    <w:rsid w:val="1665399D"/>
    <w:rsid w:val="166D6E50"/>
    <w:rsid w:val="16817906"/>
    <w:rsid w:val="168E56AB"/>
    <w:rsid w:val="168E7BDE"/>
    <w:rsid w:val="16BE59A3"/>
    <w:rsid w:val="16F2564D"/>
    <w:rsid w:val="16F71AF1"/>
    <w:rsid w:val="16F72C63"/>
    <w:rsid w:val="173D7210"/>
    <w:rsid w:val="17596DC8"/>
    <w:rsid w:val="177D47DC"/>
    <w:rsid w:val="178F7DB0"/>
    <w:rsid w:val="17A032FB"/>
    <w:rsid w:val="17B7616E"/>
    <w:rsid w:val="182C2DE0"/>
    <w:rsid w:val="184E2D57"/>
    <w:rsid w:val="18585984"/>
    <w:rsid w:val="185C48CC"/>
    <w:rsid w:val="18602A8A"/>
    <w:rsid w:val="187C78C4"/>
    <w:rsid w:val="18B63AC0"/>
    <w:rsid w:val="193B7399"/>
    <w:rsid w:val="195B1BCF"/>
    <w:rsid w:val="19A03177"/>
    <w:rsid w:val="19AA220F"/>
    <w:rsid w:val="19AC5F87"/>
    <w:rsid w:val="19CA0B03"/>
    <w:rsid w:val="1A06262D"/>
    <w:rsid w:val="1A113912"/>
    <w:rsid w:val="1A163D48"/>
    <w:rsid w:val="1A2521DD"/>
    <w:rsid w:val="1A412B01"/>
    <w:rsid w:val="1A516F34"/>
    <w:rsid w:val="1A5A3C35"/>
    <w:rsid w:val="1A9A04D5"/>
    <w:rsid w:val="1AC127EC"/>
    <w:rsid w:val="1B1F4E7E"/>
    <w:rsid w:val="1B1F6500"/>
    <w:rsid w:val="1B6C7219"/>
    <w:rsid w:val="1B6D5BEA"/>
    <w:rsid w:val="1BCA6B98"/>
    <w:rsid w:val="1BEA475F"/>
    <w:rsid w:val="1C1147C7"/>
    <w:rsid w:val="1C4E7BFF"/>
    <w:rsid w:val="1C752FA8"/>
    <w:rsid w:val="1C7D7180"/>
    <w:rsid w:val="1CBB2985"/>
    <w:rsid w:val="1CBB4733"/>
    <w:rsid w:val="1CD514F6"/>
    <w:rsid w:val="1D126A49"/>
    <w:rsid w:val="1D267050"/>
    <w:rsid w:val="1D7837EE"/>
    <w:rsid w:val="1D8348E7"/>
    <w:rsid w:val="1D8C3C27"/>
    <w:rsid w:val="1DED6B6E"/>
    <w:rsid w:val="1DEF0B38"/>
    <w:rsid w:val="1E222CBC"/>
    <w:rsid w:val="1E317BF3"/>
    <w:rsid w:val="1E4C5FEA"/>
    <w:rsid w:val="1E677A2A"/>
    <w:rsid w:val="1E9B74F2"/>
    <w:rsid w:val="1EB37485"/>
    <w:rsid w:val="1ECE074D"/>
    <w:rsid w:val="1ED16490"/>
    <w:rsid w:val="1ED63AA6"/>
    <w:rsid w:val="1EE47D48"/>
    <w:rsid w:val="1EFC0293"/>
    <w:rsid w:val="1F4D4F6A"/>
    <w:rsid w:val="1F770DE5"/>
    <w:rsid w:val="1F9736CC"/>
    <w:rsid w:val="1FBC4A4A"/>
    <w:rsid w:val="1FCD30FB"/>
    <w:rsid w:val="1FED72F9"/>
    <w:rsid w:val="20484530"/>
    <w:rsid w:val="204C2272"/>
    <w:rsid w:val="20817F35"/>
    <w:rsid w:val="208B6A49"/>
    <w:rsid w:val="2099122F"/>
    <w:rsid w:val="2099655C"/>
    <w:rsid w:val="20B95651"/>
    <w:rsid w:val="20D364EF"/>
    <w:rsid w:val="20DB25D3"/>
    <w:rsid w:val="20F070A1"/>
    <w:rsid w:val="210743EB"/>
    <w:rsid w:val="211B39F2"/>
    <w:rsid w:val="213B5E42"/>
    <w:rsid w:val="215D04AF"/>
    <w:rsid w:val="217355DC"/>
    <w:rsid w:val="219708A9"/>
    <w:rsid w:val="21B41867"/>
    <w:rsid w:val="21C02FFA"/>
    <w:rsid w:val="21CA02CC"/>
    <w:rsid w:val="22837AA1"/>
    <w:rsid w:val="228A6D8D"/>
    <w:rsid w:val="22D80950"/>
    <w:rsid w:val="2315555B"/>
    <w:rsid w:val="23244DE0"/>
    <w:rsid w:val="234350DC"/>
    <w:rsid w:val="23843AD1"/>
    <w:rsid w:val="23AD2265"/>
    <w:rsid w:val="23C02DA3"/>
    <w:rsid w:val="23CE047A"/>
    <w:rsid w:val="24124344"/>
    <w:rsid w:val="2419303C"/>
    <w:rsid w:val="244020ED"/>
    <w:rsid w:val="248949DC"/>
    <w:rsid w:val="24ED56A6"/>
    <w:rsid w:val="24FD7FDE"/>
    <w:rsid w:val="25056E93"/>
    <w:rsid w:val="252B4B4C"/>
    <w:rsid w:val="25493BB6"/>
    <w:rsid w:val="255D282B"/>
    <w:rsid w:val="255F2A47"/>
    <w:rsid w:val="25661BA3"/>
    <w:rsid w:val="25BA1A2C"/>
    <w:rsid w:val="25CD5C03"/>
    <w:rsid w:val="25F82C0F"/>
    <w:rsid w:val="26105AEF"/>
    <w:rsid w:val="26284109"/>
    <w:rsid w:val="264968DC"/>
    <w:rsid w:val="264B2FCC"/>
    <w:rsid w:val="264B4D7A"/>
    <w:rsid w:val="265956E8"/>
    <w:rsid w:val="26E156F0"/>
    <w:rsid w:val="272A11D3"/>
    <w:rsid w:val="27467181"/>
    <w:rsid w:val="2761228E"/>
    <w:rsid w:val="278247CB"/>
    <w:rsid w:val="2790513A"/>
    <w:rsid w:val="279B763B"/>
    <w:rsid w:val="27A41F89"/>
    <w:rsid w:val="27DD7863"/>
    <w:rsid w:val="2802590C"/>
    <w:rsid w:val="28771E56"/>
    <w:rsid w:val="28837FBD"/>
    <w:rsid w:val="28855CDA"/>
    <w:rsid w:val="28B60BD0"/>
    <w:rsid w:val="28D36200"/>
    <w:rsid w:val="28F8336C"/>
    <w:rsid w:val="29542E5F"/>
    <w:rsid w:val="298C1931"/>
    <w:rsid w:val="29940102"/>
    <w:rsid w:val="29A50C45"/>
    <w:rsid w:val="2A0548AB"/>
    <w:rsid w:val="2A102562"/>
    <w:rsid w:val="2A151926"/>
    <w:rsid w:val="2A2C42C2"/>
    <w:rsid w:val="2A704DAF"/>
    <w:rsid w:val="2A742AF1"/>
    <w:rsid w:val="2A952A67"/>
    <w:rsid w:val="2A9860B3"/>
    <w:rsid w:val="2AAA1439"/>
    <w:rsid w:val="2AAA4EEB"/>
    <w:rsid w:val="2AB7478C"/>
    <w:rsid w:val="2ABA24CE"/>
    <w:rsid w:val="2AD03A9F"/>
    <w:rsid w:val="2B172CAE"/>
    <w:rsid w:val="2B4A1AA4"/>
    <w:rsid w:val="2B804C96"/>
    <w:rsid w:val="2B960845"/>
    <w:rsid w:val="2B9920E3"/>
    <w:rsid w:val="2C482942"/>
    <w:rsid w:val="2C5803CF"/>
    <w:rsid w:val="2C8728C8"/>
    <w:rsid w:val="2C957A1F"/>
    <w:rsid w:val="2CAD22EA"/>
    <w:rsid w:val="2CAE7E10"/>
    <w:rsid w:val="2CBC252D"/>
    <w:rsid w:val="2CBF3DCB"/>
    <w:rsid w:val="2CDE3F82"/>
    <w:rsid w:val="2CFA3055"/>
    <w:rsid w:val="2D142369"/>
    <w:rsid w:val="2D154739"/>
    <w:rsid w:val="2D5704A8"/>
    <w:rsid w:val="2D662499"/>
    <w:rsid w:val="2D83304B"/>
    <w:rsid w:val="2DCD79D0"/>
    <w:rsid w:val="2DE464B6"/>
    <w:rsid w:val="2E236C14"/>
    <w:rsid w:val="2E4C168F"/>
    <w:rsid w:val="2E6B5FB9"/>
    <w:rsid w:val="2E70398E"/>
    <w:rsid w:val="2EA65243"/>
    <w:rsid w:val="2F046D88"/>
    <w:rsid w:val="2F0D0E1E"/>
    <w:rsid w:val="2F0F4F17"/>
    <w:rsid w:val="2F210D6D"/>
    <w:rsid w:val="2F220325"/>
    <w:rsid w:val="2F511653"/>
    <w:rsid w:val="2F580D5E"/>
    <w:rsid w:val="2F5B602D"/>
    <w:rsid w:val="2F807842"/>
    <w:rsid w:val="2F8B7319"/>
    <w:rsid w:val="2F9652B7"/>
    <w:rsid w:val="2FA33530"/>
    <w:rsid w:val="2FBE12C9"/>
    <w:rsid w:val="2FE51D9B"/>
    <w:rsid w:val="303348B4"/>
    <w:rsid w:val="303A0754"/>
    <w:rsid w:val="308B46F0"/>
    <w:rsid w:val="30D052AE"/>
    <w:rsid w:val="30D77936"/>
    <w:rsid w:val="30F86195"/>
    <w:rsid w:val="30FD3114"/>
    <w:rsid w:val="311A5A74"/>
    <w:rsid w:val="312431BF"/>
    <w:rsid w:val="313A6116"/>
    <w:rsid w:val="313E79B5"/>
    <w:rsid w:val="3163566D"/>
    <w:rsid w:val="318D6246"/>
    <w:rsid w:val="31921AAF"/>
    <w:rsid w:val="31A11CF2"/>
    <w:rsid w:val="31C81974"/>
    <w:rsid w:val="31D10829"/>
    <w:rsid w:val="31DE2F46"/>
    <w:rsid w:val="31E44BB5"/>
    <w:rsid w:val="31F61F53"/>
    <w:rsid w:val="32674CE9"/>
    <w:rsid w:val="32D82CFD"/>
    <w:rsid w:val="32ED7824"/>
    <w:rsid w:val="33137D83"/>
    <w:rsid w:val="3350577D"/>
    <w:rsid w:val="33586221"/>
    <w:rsid w:val="338250F0"/>
    <w:rsid w:val="33A51F6D"/>
    <w:rsid w:val="33F20F2A"/>
    <w:rsid w:val="3421711A"/>
    <w:rsid w:val="342731D2"/>
    <w:rsid w:val="34361B2F"/>
    <w:rsid w:val="3475617C"/>
    <w:rsid w:val="349618B6"/>
    <w:rsid w:val="34983880"/>
    <w:rsid w:val="34AE4E51"/>
    <w:rsid w:val="34B35C0A"/>
    <w:rsid w:val="34E46AC5"/>
    <w:rsid w:val="34EE16F2"/>
    <w:rsid w:val="35527ED3"/>
    <w:rsid w:val="35B9585C"/>
    <w:rsid w:val="35C33845"/>
    <w:rsid w:val="35F165B8"/>
    <w:rsid w:val="36301896"/>
    <w:rsid w:val="364718F2"/>
    <w:rsid w:val="36545584"/>
    <w:rsid w:val="366337EF"/>
    <w:rsid w:val="367774C5"/>
    <w:rsid w:val="367F4CF7"/>
    <w:rsid w:val="36835E6A"/>
    <w:rsid w:val="369E0EF6"/>
    <w:rsid w:val="36A36310"/>
    <w:rsid w:val="36C24BE4"/>
    <w:rsid w:val="36DF2DF6"/>
    <w:rsid w:val="36E7289C"/>
    <w:rsid w:val="371B72FD"/>
    <w:rsid w:val="37217B5C"/>
    <w:rsid w:val="37575E0D"/>
    <w:rsid w:val="375C584E"/>
    <w:rsid w:val="37615CCA"/>
    <w:rsid w:val="37645C9B"/>
    <w:rsid w:val="3779134E"/>
    <w:rsid w:val="37B61E4B"/>
    <w:rsid w:val="37E1109A"/>
    <w:rsid w:val="37EC7A62"/>
    <w:rsid w:val="38207D71"/>
    <w:rsid w:val="388E4CD0"/>
    <w:rsid w:val="38AD71CE"/>
    <w:rsid w:val="38C904AC"/>
    <w:rsid w:val="38E0442C"/>
    <w:rsid w:val="38F1469D"/>
    <w:rsid w:val="39072D82"/>
    <w:rsid w:val="392456E2"/>
    <w:rsid w:val="392F4087"/>
    <w:rsid w:val="393176BC"/>
    <w:rsid w:val="39362430"/>
    <w:rsid w:val="39382AD5"/>
    <w:rsid w:val="394F263C"/>
    <w:rsid w:val="399D2765"/>
    <w:rsid w:val="39EA4F1C"/>
    <w:rsid w:val="3A06303A"/>
    <w:rsid w:val="3A3E0A25"/>
    <w:rsid w:val="3A5164BC"/>
    <w:rsid w:val="3A850402"/>
    <w:rsid w:val="3A940645"/>
    <w:rsid w:val="3AA82343"/>
    <w:rsid w:val="3AB52273"/>
    <w:rsid w:val="3ABB02C8"/>
    <w:rsid w:val="3ABC7B9C"/>
    <w:rsid w:val="3B0D21A6"/>
    <w:rsid w:val="3B100629"/>
    <w:rsid w:val="3B11613A"/>
    <w:rsid w:val="3B6346FD"/>
    <w:rsid w:val="3B6B3A9C"/>
    <w:rsid w:val="3B716BD9"/>
    <w:rsid w:val="3B7346FF"/>
    <w:rsid w:val="3B7D37CF"/>
    <w:rsid w:val="3B817ACF"/>
    <w:rsid w:val="3BA5489C"/>
    <w:rsid w:val="3BC23194"/>
    <w:rsid w:val="3BC44F5A"/>
    <w:rsid w:val="3BC66A9A"/>
    <w:rsid w:val="3BDD2B0F"/>
    <w:rsid w:val="3C212A25"/>
    <w:rsid w:val="3C5C5193"/>
    <w:rsid w:val="3C6378B1"/>
    <w:rsid w:val="3C8F37BA"/>
    <w:rsid w:val="3CCD1F95"/>
    <w:rsid w:val="3D24055D"/>
    <w:rsid w:val="3D2B76D2"/>
    <w:rsid w:val="3D475E43"/>
    <w:rsid w:val="3D4A148F"/>
    <w:rsid w:val="3D87623F"/>
    <w:rsid w:val="3D89645B"/>
    <w:rsid w:val="3DB3369B"/>
    <w:rsid w:val="3DB37034"/>
    <w:rsid w:val="3DBD7422"/>
    <w:rsid w:val="3DEC4AD7"/>
    <w:rsid w:val="3E4D1237"/>
    <w:rsid w:val="3E636CAD"/>
    <w:rsid w:val="3E95498C"/>
    <w:rsid w:val="3E9E7CE5"/>
    <w:rsid w:val="3EE57D59"/>
    <w:rsid w:val="3EE8018C"/>
    <w:rsid w:val="3F06061B"/>
    <w:rsid w:val="3F111B4D"/>
    <w:rsid w:val="3F181B1D"/>
    <w:rsid w:val="3F352D11"/>
    <w:rsid w:val="3F3D74FE"/>
    <w:rsid w:val="3F6A7BC7"/>
    <w:rsid w:val="3F6E5909"/>
    <w:rsid w:val="3F795199"/>
    <w:rsid w:val="3F837EFB"/>
    <w:rsid w:val="3FA9381B"/>
    <w:rsid w:val="3FBF43B6"/>
    <w:rsid w:val="3FD31C10"/>
    <w:rsid w:val="3FDA4D4C"/>
    <w:rsid w:val="3FF37B59"/>
    <w:rsid w:val="400D3374"/>
    <w:rsid w:val="401271E1"/>
    <w:rsid w:val="40275AB8"/>
    <w:rsid w:val="40333762"/>
    <w:rsid w:val="406F1277"/>
    <w:rsid w:val="40784565"/>
    <w:rsid w:val="40CB4B16"/>
    <w:rsid w:val="40D50DA6"/>
    <w:rsid w:val="40D56C07"/>
    <w:rsid w:val="41311FD0"/>
    <w:rsid w:val="416C231C"/>
    <w:rsid w:val="41CC2DBB"/>
    <w:rsid w:val="41CE268F"/>
    <w:rsid w:val="41D6535A"/>
    <w:rsid w:val="41E75A0A"/>
    <w:rsid w:val="421F2EEA"/>
    <w:rsid w:val="42562684"/>
    <w:rsid w:val="426052B1"/>
    <w:rsid w:val="427A3B63"/>
    <w:rsid w:val="428E1E1E"/>
    <w:rsid w:val="42A11B51"/>
    <w:rsid w:val="42F22EBF"/>
    <w:rsid w:val="43016A94"/>
    <w:rsid w:val="433C60EB"/>
    <w:rsid w:val="436C6603"/>
    <w:rsid w:val="43726A5D"/>
    <w:rsid w:val="43C7383A"/>
    <w:rsid w:val="43CC2BFE"/>
    <w:rsid w:val="4416031D"/>
    <w:rsid w:val="44246EDE"/>
    <w:rsid w:val="44366C11"/>
    <w:rsid w:val="4441183E"/>
    <w:rsid w:val="44823C05"/>
    <w:rsid w:val="44F92119"/>
    <w:rsid w:val="450E5FE6"/>
    <w:rsid w:val="45240818"/>
    <w:rsid w:val="45524495"/>
    <w:rsid w:val="45790B64"/>
    <w:rsid w:val="45806396"/>
    <w:rsid w:val="458C4D3B"/>
    <w:rsid w:val="459B6D2C"/>
    <w:rsid w:val="459E05CA"/>
    <w:rsid w:val="45E36925"/>
    <w:rsid w:val="461009DD"/>
    <w:rsid w:val="46284338"/>
    <w:rsid w:val="465F41FD"/>
    <w:rsid w:val="46650FC8"/>
    <w:rsid w:val="466B0DF4"/>
    <w:rsid w:val="46875238"/>
    <w:rsid w:val="46993057"/>
    <w:rsid w:val="46AC31BB"/>
    <w:rsid w:val="46C60C8F"/>
    <w:rsid w:val="46D661C3"/>
    <w:rsid w:val="46D7008A"/>
    <w:rsid w:val="46DA3884"/>
    <w:rsid w:val="46DE2505"/>
    <w:rsid w:val="46EE10DD"/>
    <w:rsid w:val="473D70ED"/>
    <w:rsid w:val="473E3C54"/>
    <w:rsid w:val="47631ACB"/>
    <w:rsid w:val="47B12E34"/>
    <w:rsid w:val="47E97EA0"/>
    <w:rsid w:val="47F74937"/>
    <w:rsid w:val="48384D06"/>
    <w:rsid w:val="486125ED"/>
    <w:rsid w:val="4884619D"/>
    <w:rsid w:val="48910E1D"/>
    <w:rsid w:val="489B34E7"/>
    <w:rsid w:val="48A13FE1"/>
    <w:rsid w:val="48B40105"/>
    <w:rsid w:val="48C55692"/>
    <w:rsid w:val="48E17EC9"/>
    <w:rsid w:val="491A0F61"/>
    <w:rsid w:val="492B486B"/>
    <w:rsid w:val="49403596"/>
    <w:rsid w:val="494B0A69"/>
    <w:rsid w:val="495A0CAC"/>
    <w:rsid w:val="49767FC4"/>
    <w:rsid w:val="49836455"/>
    <w:rsid w:val="49B4726A"/>
    <w:rsid w:val="49C12AD9"/>
    <w:rsid w:val="49DB7AF0"/>
    <w:rsid w:val="4A5D09AC"/>
    <w:rsid w:val="4A657908"/>
    <w:rsid w:val="4A837F63"/>
    <w:rsid w:val="4A8E50B1"/>
    <w:rsid w:val="4ABB577A"/>
    <w:rsid w:val="4AC07235"/>
    <w:rsid w:val="4B177D86"/>
    <w:rsid w:val="4B223A4B"/>
    <w:rsid w:val="4B2B0B52"/>
    <w:rsid w:val="4B3612A5"/>
    <w:rsid w:val="4B3F63AB"/>
    <w:rsid w:val="4B5B70ED"/>
    <w:rsid w:val="4B632F15"/>
    <w:rsid w:val="4B983D0E"/>
    <w:rsid w:val="4B9D799D"/>
    <w:rsid w:val="4BCF5632"/>
    <w:rsid w:val="4BF10B7F"/>
    <w:rsid w:val="4C2061DD"/>
    <w:rsid w:val="4C261319"/>
    <w:rsid w:val="4C2A399D"/>
    <w:rsid w:val="4C3F7C4A"/>
    <w:rsid w:val="4C451DA3"/>
    <w:rsid w:val="4C5365B2"/>
    <w:rsid w:val="4C835CAC"/>
    <w:rsid w:val="4CAA2CBD"/>
    <w:rsid w:val="4CC748AA"/>
    <w:rsid w:val="4CE9424C"/>
    <w:rsid w:val="4D186E66"/>
    <w:rsid w:val="4D3F2693"/>
    <w:rsid w:val="4D422183"/>
    <w:rsid w:val="4D52686A"/>
    <w:rsid w:val="4D573E80"/>
    <w:rsid w:val="4D6420F9"/>
    <w:rsid w:val="4D8778DC"/>
    <w:rsid w:val="4DDC7A1B"/>
    <w:rsid w:val="4DE018C0"/>
    <w:rsid w:val="4DE72DDF"/>
    <w:rsid w:val="4DE82D2A"/>
    <w:rsid w:val="4E17716C"/>
    <w:rsid w:val="4E191136"/>
    <w:rsid w:val="4E263853"/>
    <w:rsid w:val="4E35275D"/>
    <w:rsid w:val="4E3A597F"/>
    <w:rsid w:val="4E4F02BD"/>
    <w:rsid w:val="4E516B22"/>
    <w:rsid w:val="4E772300"/>
    <w:rsid w:val="4E944C60"/>
    <w:rsid w:val="4ED24BC6"/>
    <w:rsid w:val="4ED35788"/>
    <w:rsid w:val="4EE41E58"/>
    <w:rsid w:val="4EF61477"/>
    <w:rsid w:val="4F02606E"/>
    <w:rsid w:val="4F343D4D"/>
    <w:rsid w:val="4F4E12B3"/>
    <w:rsid w:val="4FBD4441"/>
    <w:rsid w:val="4FC478CC"/>
    <w:rsid w:val="4FF534DD"/>
    <w:rsid w:val="50222E65"/>
    <w:rsid w:val="502F6B66"/>
    <w:rsid w:val="50337BEE"/>
    <w:rsid w:val="5035567E"/>
    <w:rsid w:val="50461F8A"/>
    <w:rsid w:val="504A1A7A"/>
    <w:rsid w:val="505718DF"/>
    <w:rsid w:val="50632B3C"/>
    <w:rsid w:val="50814D13"/>
    <w:rsid w:val="50A8054F"/>
    <w:rsid w:val="50BC6595"/>
    <w:rsid w:val="50CB00AF"/>
    <w:rsid w:val="51024103"/>
    <w:rsid w:val="51167342"/>
    <w:rsid w:val="5125272A"/>
    <w:rsid w:val="51275948"/>
    <w:rsid w:val="51606891"/>
    <w:rsid w:val="51656440"/>
    <w:rsid w:val="51842D6A"/>
    <w:rsid w:val="51902CA1"/>
    <w:rsid w:val="51984A67"/>
    <w:rsid w:val="51FB3908"/>
    <w:rsid w:val="52132340"/>
    <w:rsid w:val="52245FD9"/>
    <w:rsid w:val="524D5CEC"/>
    <w:rsid w:val="528A2602"/>
    <w:rsid w:val="529C2335"/>
    <w:rsid w:val="52C441FB"/>
    <w:rsid w:val="52C75604"/>
    <w:rsid w:val="52CE538A"/>
    <w:rsid w:val="52D95337"/>
    <w:rsid w:val="53400F13"/>
    <w:rsid w:val="53514ECE"/>
    <w:rsid w:val="536C7F5A"/>
    <w:rsid w:val="53774DDA"/>
    <w:rsid w:val="53807561"/>
    <w:rsid w:val="53843821"/>
    <w:rsid w:val="53890DC0"/>
    <w:rsid w:val="538B7700"/>
    <w:rsid w:val="53AF7E46"/>
    <w:rsid w:val="53BF7537"/>
    <w:rsid w:val="53CC27A6"/>
    <w:rsid w:val="54293584"/>
    <w:rsid w:val="54422A68"/>
    <w:rsid w:val="54534C76"/>
    <w:rsid w:val="54556C40"/>
    <w:rsid w:val="54565118"/>
    <w:rsid w:val="546649A9"/>
    <w:rsid w:val="54776BB6"/>
    <w:rsid w:val="54B003AC"/>
    <w:rsid w:val="54B90F7D"/>
    <w:rsid w:val="54BC6CBF"/>
    <w:rsid w:val="54E56216"/>
    <w:rsid w:val="54F40207"/>
    <w:rsid w:val="55110DB9"/>
    <w:rsid w:val="55423B4E"/>
    <w:rsid w:val="555D3FFE"/>
    <w:rsid w:val="55D63DB0"/>
    <w:rsid w:val="55DB7123"/>
    <w:rsid w:val="55FF6E63"/>
    <w:rsid w:val="56152621"/>
    <w:rsid w:val="562541F8"/>
    <w:rsid w:val="56260894"/>
    <w:rsid w:val="565B6136"/>
    <w:rsid w:val="56604122"/>
    <w:rsid w:val="56AD6A1F"/>
    <w:rsid w:val="56C63E25"/>
    <w:rsid w:val="56F20776"/>
    <w:rsid w:val="572473FB"/>
    <w:rsid w:val="57601B83"/>
    <w:rsid w:val="57607DD5"/>
    <w:rsid w:val="577264C0"/>
    <w:rsid w:val="57BB500C"/>
    <w:rsid w:val="57C02622"/>
    <w:rsid w:val="57C1417C"/>
    <w:rsid w:val="57D91936"/>
    <w:rsid w:val="581D64AD"/>
    <w:rsid w:val="582B2191"/>
    <w:rsid w:val="58360B36"/>
    <w:rsid w:val="5838665C"/>
    <w:rsid w:val="58443253"/>
    <w:rsid w:val="587D46A8"/>
    <w:rsid w:val="589F0489"/>
    <w:rsid w:val="58BF28DA"/>
    <w:rsid w:val="58C9181F"/>
    <w:rsid w:val="59215342"/>
    <w:rsid w:val="59232E53"/>
    <w:rsid w:val="592E180D"/>
    <w:rsid w:val="59831B59"/>
    <w:rsid w:val="59875AED"/>
    <w:rsid w:val="59930A6C"/>
    <w:rsid w:val="599E6B95"/>
    <w:rsid w:val="59AA336E"/>
    <w:rsid w:val="59B12B6A"/>
    <w:rsid w:val="59C72015"/>
    <w:rsid w:val="59EA21ED"/>
    <w:rsid w:val="59FE5684"/>
    <w:rsid w:val="5A5607C9"/>
    <w:rsid w:val="5A5D022E"/>
    <w:rsid w:val="5A8E2EAB"/>
    <w:rsid w:val="5AD14F3D"/>
    <w:rsid w:val="5B2353A2"/>
    <w:rsid w:val="5B9F3959"/>
    <w:rsid w:val="5BB31D00"/>
    <w:rsid w:val="5BCB3FA6"/>
    <w:rsid w:val="5BEF1728"/>
    <w:rsid w:val="5C0351D3"/>
    <w:rsid w:val="5C1178F0"/>
    <w:rsid w:val="5C28560D"/>
    <w:rsid w:val="5C7A4E98"/>
    <w:rsid w:val="5C892852"/>
    <w:rsid w:val="5C9A3A3B"/>
    <w:rsid w:val="5C9F4EFC"/>
    <w:rsid w:val="5CA254A2"/>
    <w:rsid w:val="5CAE5CCF"/>
    <w:rsid w:val="5CB447E6"/>
    <w:rsid w:val="5CC53D16"/>
    <w:rsid w:val="5D096684"/>
    <w:rsid w:val="5D3513BC"/>
    <w:rsid w:val="5E0C5A69"/>
    <w:rsid w:val="5E225DE5"/>
    <w:rsid w:val="5E5B12F6"/>
    <w:rsid w:val="5E671A49"/>
    <w:rsid w:val="5E7303EE"/>
    <w:rsid w:val="5E7D126D"/>
    <w:rsid w:val="5EE94B54"/>
    <w:rsid w:val="5F1576F7"/>
    <w:rsid w:val="5F296CFF"/>
    <w:rsid w:val="5F3E2D49"/>
    <w:rsid w:val="5F445C6C"/>
    <w:rsid w:val="5F593A88"/>
    <w:rsid w:val="60005B14"/>
    <w:rsid w:val="600D4E10"/>
    <w:rsid w:val="60305F29"/>
    <w:rsid w:val="60315686"/>
    <w:rsid w:val="604F4E8B"/>
    <w:rsid w:val="606C22A3"/>
    <w:rsid w:val="60786A48"/>
    <w:rsid w:val="6080758F"/>
    <w:rsid w:val="60BF5B6D"/>
    <w:rsid w:val="60FE0C52"/>
    <w:rsid w:val="61096DE8"/>
    <w:rsid w:val="61227EAA"/>
    <w:rsid w:val="613A1F85"/>
    <w:rsid w:val="615273C4"/>
    <w:rsid w:val="616E683C"/>
    <w:rsid w:val="6172796F"/>
    <w:rsid w:val="617F354E"/>
    <w:rsid w:val="61DE253F"/>
    <w:rsid w:val="620F48D2"/>
    <w:rsid w:val="62185C38"/>
    <w:rsid w:val="62A3320A"/>
    <w:rsid w:val="62BF5EF6"/>
    <w:rsid w:val="62D653F0"/>
    <w:rsid w:val="630C7063"/>
    <w:rsid w:val="63400ABB"/>
    <w:rsid w:val="6344379D"/>
    <w:rsid w:val="636B1F46"/>
    <w:rsid w:val="638A3CCE"/>
    <w:rsid w:val="63B219B9"/>
    <w:rsid w:val="63F73098"/>
    <w:rsid w:val="640378F2"/>
    <w:rsid w:val="64121CB8"/>
    <w:rsid w:val="642900EE"/>
    <w:rsid w:val="643B5F4F"/>
    <w:rsid w:val="64410F7E"/>
    <w:rsid w:val="646A5DEF"/>
    <w:rsid w:val="646B4481"/>
    <w:rsid w:val="648666B8"/>
    <w:rsid w:val="64BD2359"/>
    <w:rsid w:val="64FF0C2E"/>
    <w:rsid w:val="659C3D31"/>
    <w:rsid w:val="65C2441E"/>
    <w:rsid w:val="6659436D"/>
    <w:rsid w:val="665E75B1"/>
    <w:rsid w:val="66CA3766"/>
    <w:rsid w:val="66EA7A6D"/>
    <w:rsid w:val="670C5884"/>
    <w:rsid w:val="67131A82"/>
    <w:rsid w:val="67386679"/>
    <w:rsid w:val="6747066A"/>
    <w:rsid w:val="675B5EC3"/>
    <w:rsid w:val="676236F6"/>
    <w:rsid w:val="679E0745"/>
    <w:rsid w:val="67C97802"/>
    <w:rsid w:val="67FA04CF"/>
    <w:rsid w:val="6813679E"/>
    <w:rsid w:val="68150768"/>
    <w:rsid w:val="68273FF7"/>
    <w:rsid w:val="68572B2F"/>
    <w:rsid w:val="687234C5"/>
    <w:rsid w:val="68792AA5"/>
    <w:rsid w:val="6892770E"/>
    <w:rsid w:val="68E1064A"/>
    <w:rsid w:val="693E3CEF"/>
    <w:rsid w:val="694806C9"/>
    <w:rsid w:val="695B5DAD"/>
    <w:rsid w:val="699B2EEF"/>
    <w:rsid w:val="69A973BA"/>
    <w:rsid w:val="69E403F2"/>
    <w:rsid w:val="69E77EE2"/>
    <w:rsid w:val="69EB79D2"/>
    <w:rsid w:val="6A0E0D76"/>
    <w:rsid w:val="6A1F142A"/>
    <w:rsid w:val="6A5F216E"/>
    <w:rsid w:val="6A9736B6"/>
    <w:rsid w:val="6AAD2EDA"/>
    <w:rsid w:val="6ABF6769"/>
    <w:rsid w:val="6AE35367"/>
    <w:rsid w:val="6AF723A7"/>
    <w:rsid w:val="6AF776AC"/>
    <w:rsid w:val="6AF83364"/>
    <w:rsid w:val="6B572E46"/>
    <w:rsid w:val="6B8F2F08"/>
    <w:rsid w:val="6B9F6CC6"/>
    <w:rsid w:val="6BA75B7B"/>
    <w:rsid w:val="6BE0094D"/>
    <w:rsid w:val="6BE7241B"/>
    <w:rsid w:val="6C1B20C5"/>
    <w:rsid w:val="6C220409"/>
    <w:rsid w:val="6C327B3B"/>
    <w:rsid w:val="6C5F4227"/>
    <w:rsid w:val="6C8163CC"/>
    <w:rsid w:val="6C9C6D62"/>
    <w:rsid w:val="6CA81BAB"/>
    <w:rsid w:val="6CC0027B"/>
    <w:rsid w:val="6CDE737B"/>
    <w:rsid w:val="6D097710"/>
    <w:rsid w:val="6D271668"/>
    <w:rsid w:val="6D435931"/>
    <w:rsid w:val="6D4F05DE"/>
    <w:rsid w:val="6D6B3294"/>
    <w:rsid w:val="6D6E7C26"/>
    <w:rsid w:val="6DAD4F9F"/>
    <w:rsid w:val="6DB161D1"/>
    <w:rsid w:val="6DB63E53"/>
    <w:rsid w:val="6DCE0390"/>
    <w:rsid w:val="6E244F9B"/>
    <w:rsid w:val="6E2C680B"/>
    <w:rsid w:val="6E2F3C06"/>
    <w:rsid w:val="6E7078CA"/>
    <w:rsid w:val="6E8E6B7E"/>
    <w:rsid w:val="6EA4579A"/>
    <w:rsid w:val="6EAA26BC"/>
    <w:rsid w:val="6EAB66C7"/>
    <w:rsid w:val="6ECB7DD2"/>
    <w:rsid w:val="6EE113A4"/>
    <w:rsid w:val="6EEA3674"/>
    <w:rsid w:val="6F40256E"/>
    <w:rsid w:val="6F4D4AC1"/>
    <w:rsid w:val="6F551574"/>
    <w:rsid w:val="6F7264A0"/>
    <w:rsid w:val="70001CFE"/>
    <w:rsid w:val="7003410D"/>
    <w:rsid w:val="7016507D"/>
    <w:rsid w:val="70291255"/>
    <w:rsid w:val="7064551D"/>
    <w:rsid w:val="70673B2B"/>
    <w:rsid w:val="70A24B63"/>
    <w:rsid w:val="70B30B1E"/>
    <w:rsid w:val="70B86135"/>
    <w:rsid w:val="70C0289D"/>
    <w:rsid w:val="70C61E39"/>
    <w:rsid w:val="710E6DE8"/>
    <w:rsid w:val="71193077"/>
    <w:rsid w:val="715B3690"/>
    <w:rsid w:val="71834994"/>
    <w:rsid w:val="71EC625E"/>
    <w:rsid w:val="71FD4747"/>
    <w:rsid w:val="720F0649"/>
    <w:rsid w:val="72347A3D"/>
    <w:rsid w:val="723D669A"/>
    <w:rsid w:val="72734AC4"/>
    <w:rsid w:val="727A2D99"/>
    <w:rsid w:val="727B566C"/>
    <w:rsid w:val="7294672D"/>
    <w:rsid w:val="729A01E8"/>
    <w:rsid w:val="72B03B48"/>
    <w:rsid w:val="72BB3CBA"/>
    <w:rsid w:val="72E840ED"/>
    <w:rsid w:val="72FD42D3"/>
    <w:rsid w:val="731004AA"/>
    <w:rsid w:val="73272CD6"/>
    <w:rsid w:val="733F48EB"/>
    <w:rsid w:val="734C0DB6"/>
    <w:rsid w:val="738A025C"/>
    <w:rsid w:val="73B07597"/>
    <w:rsid w:val="73C8589C"/>
    <w:rsid w:val="73CE3C03"/>
    <w:rsid w:val="73D634A1"/>
    <w:rsid w:val="73DD2A72"/>
    <w:rsid w:val="73F90F3E"/>
    <w:rsid w:val="73FB4CB6"/>
    <w:rsid w:val="740066AB"/>
    <w:rsid w:val="744A2D86"/>
    <w:rsid w:val="745B5755"/>
    <w:rsid w:val="74730CF0"/>
    <w:rsid w:val="74A53B8E"/>
    <w:rsid w:val="74A72748"/>
    <w:rsid w:val="74A76BEC"/>
    <w:rsid w:val="74B80DF9"/>
    <w:rsid w:val="74E53270"/>
    <w:rsid w:val="75545CF6"/>
    <w:rsid w:val="758429EC"/>
    <w:rsid w:val="759727BC"/>
    <w:rsid w:val="75AA6994"/>
    <w:rsid w:val="75C612F4"/>
    <w:rsid w:val="760140DA"/>
    <w:rsid w:val="76520774"/>
    <w:rsid w:val="7654173C"/>
    <w:rsid w:val="766C3C49"/>
    <w:rsid w:val="766E2327"/>
    <w:rsid w:val="76BB697E"/>
    <w:rsid w:val="76C515AB"/>
    <w:rsid w:val="76C53533"/>
    <w:rsid w:val="77052148"/>
    <w:rsid w:val="7715608F"/>
    <w:rsid w:val="771F624B"/>
    <w:rsid w:val="773241A2"/>
    <w:rsid w:val="77431204"/>
    <w:rsid w:val="777059BB"/>
    <w:rsid w:val="77873E08"/>
    <w:rsid w:val="77E7685E"/>
    <w:rsid w:val="77FA3CB1"/>
    <w:rsid w:val="7828133E"/>
    <w:rsid w:val="787E7C64"/>
    <w:rsid w:val="78A53442"/>
    <w:rsid w:val="78C22246"/>
    <w:rsid w:val="78EF46BD"/>
    <w:rsid w:val="792425B9"/>
    <w:rsid w:val="792A3948"/>
    <w:rsid w:val="79370A36"/>
    <w:rsid w:val="79404D4B"/>
    <w:rsid w:val="79863274"/>
    <w:rsid w:val="7993504C"/>
    <w:rsid w:val="79951709"/>
    <w:rsid w:val="799E680F"/>
    <w:rsid w:val="79A17618"/>
    <w:rsid w:val="79A36E39"/>
    <w:rsid w:val="79BA2F1D"/>
    <w:rsid w:val="79DA35C0"/>
    <w:rsid w:val="7A4D1FE3"/>
    <w:rsid w:val="7A5271F6"/>
    <w:rsid w:val="7A540C7C"/>
    <w:rsid w:val="7A603AC5"/>
    <w:rsid w:val="7A752472"/>
    <w:rsid w:val="7A7E219D"/>
    <w:rsid w:val="7A860EB9"/>
    <w:rsid w:val="7AA4435D"/>
    <w:rsid w:val="7AA5772A"/>
    <w:rsid w:val="7B6475E5"/>
    <w:rsid w:val="7B7535A0"/>
    <w:rsid w:val="7B9D48A5"/>
    <w:rsid w:val="7BAB6FC2"/>
    <w:rsid w:val="7BBA7205"/>
    <w:rsid w:val="7BFF10BB"/>
    <w:rsid w:val="7C1903CF"/>
    <w:rsid w:val="7C2C0D6F"/>
    <w:rsid w:val="7C4D0079"/>
    <w:rsid w:val="7C613B24"/>
    <w:rsid w:val="7C99506C"/>
    <w:rsid w:val="7CF359B3"/>
    <w:rsid w:val="7CFB1883"/>
    <w:rsid w:val="7CFE1373"/>
    <w:rsid w:val="7D07647A"/>
    <w:rsid w:val="7D277E87"/>
    <w:rsid w:val="7D3E3E65"/>
    <w:rsid w:val="7D4274B2"/>
    <w:rsid w:val="7D5B0573"/>
    <w:rsid w:val="7D797974"/>
    <w:rsid w:val="7DA168CE"/>
    <w:rsid w:val="7DB209F2"/>
    <w:rsid w:val="7E002EC9"/>
    <w:rsid w:val="7E176B90"/>
    <w:rsid w:val="7E371451"/>
    <w:rsid w:val="7E7F0292"/>
    <w:rsid w:val="7E897845"/>
    <w:rsid w:val="7E9C0E44"/>
    <w:rsid w:val="7EAD415A"/>
    <w:rsid w:val="7EAD6756"/>
    <w:rsid w:val="7F6326F2"/>
    <w:rsid w:val="7F7D6EC7"/>
    <w:rsid w:val="7F91649B"/>
    <w:rsid w:val="7FA04963"/>
    <w:rsid w:val="7FB83A5B"/>
    <w:rsid w:val="7FC96F89"/>
    <w:rsid w:val="7FCB5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tabs>
        <w:tab w:val="left" w:pos="420"/>
        <w:tab w:val="left" w:pos="1050"/>
      </w:tabs>
      <w:ind w:firstLine="567"/>
      <w:outlineLvl w:val="0"/>
    </w:pPr>
    <w:rPr>
      <w:rFonts w:ascii="仿宋_GB2312" w:eastAsia="仿宋_GB2312"/>
      <w:sz w:val="28"/>
      <w:szCs w:val="20"/>
    </w:rPr>
  </w:style>
  <w:style w:type="paragraph" w:styleId="4">
    <w:name w:val="heading 2"/>
    <w:basedOn w:val="1"/>
    <w:next w:val="1"/>
    <w:qFormat/>
    <w:uiPriority w:val="0"/>
    <w:pPr>
      <w:keepNext/>
      <w:numPr>
        <w:ilvl w:val="0"/>
        <w:numId w:val="1"/>
      </w:numPr>
      <w:tabs>
        <w:tab w:val="left" w:pos="1050"/>
      </w:tabs>
      <w:spacing w:line="480" w:lineRule="exact"/>
      <w:outlineLvl w:val="1"/>
    </w:pPr>
    <w:rPr>
      <w:rFonts w:ascii="楷体_GB2312" w:hAnsi="宋体" w:eastAsia="楷体_GB2312" w:cs="宋体"/>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link w:val="239"/>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240"/>
    <w:qFormat/>
    <w:uiPriority w:val="0"/>
    <w:pPr>
      <w:keepNext/>
      <w:jc w:val="center"/>
      <w:outlineLvl w:val="4"/>
    </w:pPr>
    <w:rPr>
      <w:sz w:val="28"/>
    </w:rPr>
  </w:style>
  <w:style w:type="paragraph" w:styleId="8">
    <w:name w:val="heading 6"/>
    <w:basedOn w:val="1"/>
    <w:next w:val="1"/>
    <w:link w:val="241"/>
    <w:qFormat/>
    <w:uiPriority w:val="0"/>
    <w:pPr>
      <w:keepNext/>
      <w:widowControl/>
      <w:ind w:left="720"/>
      <w:jc w:val="left"/>
      <w:outlineLvl w:val="5"/>
    </w:pPr>
    <w:rPr>
      <w:b/>
      <w:sz w:val="24"/>
    </w:rPr>
  </w:style>
  <w:style w:type="paragraph" w:styleId="9">
    <w:name w:val="heading 7"/>
    <w:basedOn w:val="1"/>
    <w:next w:val="1"/>
    <w:link w:val="242"/>
    <w:qFormat/>
    <w:uiPriority w:val="0"/>
    <w:pPr>
      <w:keepNext/>
      <w:widowControl/>
      <w:ind w:left="720" w:firstLine="554" w:firstLineChars="231"/>
      <w:jc w:val="left"/>
      <w:outlineLvl w:val="6"/>
    </w:pPr>
    <w:rPr>
      <w:bCs/>
      <w:sz w:val="24"/>
    </w:rPr>
  </w:style>
  <w:style w:type="paragraph" w:styleId="10">
    <w:name w:val="heading 8"/>
    <w:basedOn w:val="1"/>
    <w:next w:val="1"/>
    <w:link w:val="243"/>
    <w:qFormat/>
    <w:uiPriority w:val="0"/>
    <w:pPr>
      <w:keepNext/>
      <w:ind w:left="720"/>
      <w:jc w:val="center"/>
      <w:outlineLvl w:val="7"/>
    </w:pPr>
    <w:rPr>
      <w:sz w:val="28"/>
    </w:rPr>
  </w:style>
  <w:style w:type="paragraph" w:styleId="11">
    <w:name w:val="heading 9"/>
    <w:basedOn w:val="1"/>
    <w:next w:val="1"/>
    <w:link w:val="244"/>
    <w:qFormat/>
    <w:uiPriority w:val="0"/>
    <w:pPr>
      <w:keepNext/>
      <w:keepLines/>
      <w:spacing w:before="240" w:after="64" w:line="317" w:lineRule="auto"/>
      <w:outlineLvl w:val="8"/>
    </w:pPr>
    <w:rPr>
      <w:rFonts w:ascii="Arial" w:hAnsi="Arial" w:eastAsia="黑体"/>
      <w:szCs w:val="21"/>
    </w:rPr>
  </w:style>
  <w:style w:type="character" w:default="1" w:styleId="133">
    <w:name w:val="Default Paragraph Font"/>
    <w:unhideWhenUsed/>
    <w:qFormat/>
    <w:uiPriority w:val="1"/>
  </w:style>
  <w:style w:type="table" w:default="1" w:styleId="8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352"/>
    <w:qFormat/>
    <w:uiPriority w:val="0"/>
    <w:pPr>
      <w:tabs>
        <w:tab w:val="left" w:pos="480"/>
        <w:tab w:val="left" w:pos="960"/>
        <w:tab w:val="left" w:pos="1440"/>
        <w:tab w:val="left" w:pos="1920"/>
        <w:tab w:val="left" w:pos="2400"/>
        <w:tab w:val="left" w:pos="2880"/>
        <w:tab w:val="left" w:pos="3360"/>
        <w:tab w:val="left" w:pos="3840"/>
        <w:tab w:val="left" w:pos="4320"/>
      </w:tabs>
      <w:ind w:left="1170" w:right="140"/>
    </w:pPr>
    <w:rPr>
      <w:rFonts w:ascii="Courier New" w:hAnsi="Courier New" w:eastAsia="宋体" w:cs="Courier New"/>
      <w:lang w:val="en-GB" w:eastAsia="en-US" w:bidi="ar-SA"/>
    </w:rPr>
  </w:style>
  <w:style w:type="paragraph" w:styleId="12">
    <w:name w:val="List 3"/>
    <w:basedOn w:val="1"/>
    <w:qFormat/>
    <w:uiPriority w:val="0"/>
    <w:pPr>
      <w:ind w:left="1260" w:hanging="420"/>
    </w:p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numPr>
        <w:ilvl w:val="0"/>
        <w:numId w:val="2"/>
      </w:numPr>
    </w:pPr>
  </w:style>
  <w:style w:type="paragraph" w:styleId="15">
    <w:name w:val="table of authorities"/>
    <w:basedOn w:val="1"/>
    <w:next w:val="1"/>
    <w:qFormat/>
    <w:uiPriority w:val="0"/>
    <w:pPr>
      <w:widowControl/>
      <w:spacing w:before="100" w:beforeAutospacing="1" w:after="100" w:afterAutospacing="1"/>
      <w:ind w:left="240" w:right="142" w:hanging="240"/>
      <w:jc w:val="left"/>
    </w:pPr>
    <w:rPr>
      <w:rFonts w:ascii="Tahoma" w:hAnsi="Tahoma"/>
      <w:kern w:val="0"/>
      <w:sz w:val="20"/>
      <w:szCs w:val="20"/>
      <w:lang w:eastAsia="en-US"/>
    </w:rPr>
  </w:style>
  <w:style w:type="paragraph" w:styleId="16">
    <w:name w:val="Note Heading"/>
    <w:basedOn w:val="1"/>
    <w:next w:val="1"/>
    <w:link w:val="270"/>
    <w:qFormat/>
    <w:uiPriority w:val="0"/>
    <w:pPr>
      <w:jc w:val="center"/>
    </w:pPr>
  </w:style>
  <w:style w:type="paragraph" w:styleId="17">
    <w:name w:val="List Bullet 4"/>
    <w:basedOn w:val="1"/>
    <w:qFormat/>
    <w:uiPriority w:val="0"/>
    <w:pPr>
      <w:numPr>
        <w:ilvl w:val="0"/>
        <w:numId w:val="3"/>
      </w:numPr>
    </w:pPr>
  </w:style>
  <w:style w:type="paragraph" w:styleId="18">
    <w:name w:val="index 8"/>
    <w:basedOn w:val="1"/>
    <w:next w:val="1"/>
    <w:qFormat/>
    <w:uiPriority w:val="0"/>
    <w:pPr>
      <w:widowControl/>
      <w:tabs>
        <w:tab w:val="right" w:leader="dot" w:pos="10092"/>
      </w:tabs>
      <w:spacing w:before="100" w:beforeAutospacing="1" w:after="100" w:afterAutospacing="1"/>
      <w:ind w:left="2080" w:right="142" w:hanging="260"/>
      <w:jc w:val="left"/>
    </w:pPr>
    <w:rPr>
      <w:rFonts w:ascii="Tahoma" w:hAnsi="Tahoma"/>
      <w:kern w:val="0"/>
      <w:sz w:val="20"/>
      <w:szCs w:val="20"/>
      <w:lang w:eastAsia="en-US"/>
    </w:rPr>
  </w:style>
  <w:style w:type="paragraph" w:styleId="19">
    <w:name w:val="E-mail Signature"/>
    <w:basedOn w:val="1"/>
    <w:link w:val="266"/>
    <w:qFormat/>
    <w:uiPriority w:val="0"/>
  </w:style>
  <w:style w:type="paragraph" w:styleId="20">
    <w:name w:val="List Number"/>
    <w:basedOn w:val="1"/>
    <w:qFormat/>
    <w:uiPriority w:val="0"/>
    <w:pPr>
      <w:numPr>
        <w:ilvl w:val="0"/>
        <w:numId w:val="4"/>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pPr>
      <w:widowControl/>
      <w:tabs>
        <w:tab w:val="left" w:pos="2160"/>
      </w:tabs>
      <w:spacing w:before="100" w:beforeAutospacing="1" w:after="100" w:afterAutospacing="1"/>
      <w:ind w:left="2155" w:right="142" w:hanging="1021"/>
      <w:jc w:val="left"/>
    </w:pPr>
    <w:rPr>
      <w:rFonts w:ascii="Tahoma" w:hAnsi="Tahoma"/>
      <w:b/>
      <w:kern w:val="0"/>
      <w:sz w:val="20"/>
      <w:szCs w:val="20"/>
      <w:lang w:eastAsia="en-US"/>
    </w:rPr>
  </w:style>
  <w:style w:type="paragraph" w:styleId="23">
    <w:name w:val="index 5"/>
    <w:basedOn w:val="1"/>
    <w:next w:val="1"/>
    <w:qFormat/>
    <w:uiPriority w:val="0"/>
    <w:pPr>
      <w:widowControl/>
      <w:tabs>
        <w:tab w:val="right" w:leader="dot" w:pos="10092"/>
      </w:tabs>
      <w:spacing w:before="100" w:beforeAutospacing="1" w:after="100" w:afterAutospacing="1"/>
      <w:ind w:left="1440" w:right="142" w:hanging="274"/>
      <w:jc w:val="left"/>
    </w:pPr>
    <w:rPr>
      <w:rFonts w:ascii="Tahoma" w:hAnsi="Tahoma"/>
      <w:kern w:val="0"/>
      <w:sz w:val="20"/>
      <w:szCs w:val="20"/>
      <w:lang w:eastAsia="en-US"/>
    </w:rPr>
  </w:style>
  <w:style w:type="paragraph" w:styleId="24">
    <w:name w:val="List Bullet"/>
    <w:basedOn w:val="1"/>
    <w:qFormat/>
    <w:uiPriority w:val="0"/>
    <w:pPr>
      <w:numPr>
        <w:ilvl w:val="0"/>
        <w:numId w:val="5"/>
      </w:numPr>
    </w:pPr>
  </w:style>
  <w:style w:type="paragraph" w:styleId="25">
    <w:name w:val="envelope address"/>
    <w:basedOn w:val="1"/>
    <w:qFormat/>
    <w:uiPriority w:val="0"/>
    <w:pPr>
      <w:snapToGrid w:val="0"/>
      <w:ind w:left="2880"/>
    </w:pPr>
    <w:rPr>
      <w:rFonts w:ascii="Arial" w:hAnsi="Arial" w:cs="Arial"/>
      <w:sz w:val="24"/>
    </w:rPr>
  </w:style>
  <w:style w:type="paragraph" w:styleId="26">
    <w:name w:val="Document Map"/>
    <w:basedOn w:val="1"/>
    <w:link w:val="231"/>
    <w:qFormat/>
    <w:uiPriority w:val="99"/>
    <w:pPr>
      <w:shd w:val="clear" w:color="auto" w:fill="000080"/>
    </w:pPr>
    <w:rPr>
      <w:szCs w:val="20"/>
    </w:rPr>
  </w:style>
  <w:style w:type="paragraph" w:styleId="27">
    <w:name w:val="toa heading"/>
    <w:basedOn w:val="1"/>
    <w:next w:val="1"/>
    <w:qFormat/>
    <w:uiPriority w:val="0"/>
    <w:pPr>
      <w:widowControl/>
      <w:spacing w:before="100" w:beforeAutospacing="1" w:after="100" w:afterAutospacing="1"/>
      <w:ind w:left="1134" w:right="142"/>
      <w:jc w:val="left"/>
    </w:pPr>
    <w:rPr>
      <w:rFonts w:ascii="Arial" w:hAnsi="Arial"/>
      <w:b/>
      <w:bCs/>
      <w:kern w:val="0"/>
      <w:sz w:val="20"/>
      <w:lang w:eastAsia="en-US"/>
    </w:rPr>
  </w:style>
  <w:style w:type="paragraph" w:styleId="28">
    <w:name w:val="annotation text"/>
    <w:basedOn w:val="1"/>
    <w:link w:val="314"/>
    <w:qFormat/>
    <w:uiPriority w:val="99"/>
    <w:pPr>
      <w:jc w:val="left"/>
    </w:pPr>
  </w:style>
  <w:style w:type="paragraph" w:styleId="29">
    <w:name w:val="index 6"/>
    <w:basedOn w:val="1"/>
    <w:next w:val="1"/>
    <w:qFormat/>
    <w:uiPriority w:val="0"/>
    <w:pPr>
      <w:widowControl/>
      <w:tabs>
        <w:tab w:val="right" w:leader="dot" w:pos="10092"/>
      </w:tabs>
      <w:spacing w:before="100" w:beforeAutospacing="1" w:after="100" w:afterAutospacing="1"/>
      <w:ind w:left="1560" w:right="142" w:hanging="260"/>
      <w:jc w:val="left"/>
    </w:pPr>
    <w:rPr>
      <w:rFonts w:ascii="Tahoma" w:hAnsi="Tahoma"/>
      <w:kern w:val="0"/>
      <w:sz w:val="20"/>
      <w:szCs w:val="20"/>
      <w:lang w:eastAsia="en-US"/>
    </w:rPr>
  </w:style>
  <w:style w:type="paragraph" w:styleId="30">
    <w:name w:val="Salutation"/>
    <w:basedOn w:val="1"/>
    <w:next w:val="1"/>
    <w:link w:val="265"/>
    <w:qFormat/>
    <w:uiPriority w:val="0"/>
  </w:style>
  <w:style w:type="paragraph" w:styleId="31">
    <w:name w:val="Body Text 3"/>
    <w:basedOn w:val="1"/>
    <w:link w:val="247"/>
    <w:qFormat/>
    <w:uiPriority w:val="0"/>
    <w:pPr>
      <w:spacing w:after="120"/>
    </w:pPr>
    <w:rPr>
      <w:sz w:val="16"/>
      <w:szCs w:val="16"/>
    </w:rPr>
  </w:style>
  <w:style w:type="paragraph" w:styleId="32">
    <w:name w:val="Closing"/>
    <w:basedOn w:val="1"/>
    <w:link w:val="267"/>
    <w:qFormat/>
    <w:uiPriority w:val="0"/>
    <w:pPr>
      <w:ind w:left="4320"/>
    </w:pPr>
  </w:style>
  <w:style w:type="paragraph" w:styleId="33">
    <w:name w:val="List Bullet 3"/>
    <w:basedOn w:val="1"/>
    <w:qFormat/>
    <w:uiPriority w:val="0"/>
    <w:pPr>
      <w:tabs>
        <w:tab w:val="left" w:pos="1200"/>
      </w:tabs>
      <w:ind w:left="1200" w:hanging="360"/>
    </w:pPr>
  </w:style>
  <w:style w:type="paragraph" w:styleId="34">
    <w:name w:val="Body Text"/>
    <w:basedOn w:val="1"/>
    <w:next w:val="35"/>
    <w:qFormat/>
    <w:uiPriority w:val="0"/>
    <w:pPr>
      <w:spacing w:after="120"/>
    </w:pPr>
  </w:style>
  <w:style w:type="paragraph" w:styleId="35">
    <w:name w:val="Body Text 2"/>
    <w:basedOn w:val="1"/>
    <w:link w:val="248"/>
    <w:qFormat/>
    <w:uiPriority w:val="0"/>
    <w:pPr>
      <w:spacing w:after="120" w:line="480" w:lineRule="auto"/>
    </w:pPr>
  </w:style>
  <w:style w:type="paragraph" w:styleId="36">
    <w:name w:val="Body Text Indent"/>
    <w:basedOn w:val="1"/>
    <w:link w:val="353"/>
    <w:qFormat/>
    <w:uiPriority w:val="99"/>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840" w:hanging="420"/>
    </w:pPr>
  </w:style>
  <w:style w:type="paragraph" w:styleId="39">
    <w:name w:val="List Continue"/>
    <w:basedOn w:val="1"/>
    <w:qFormat/>
    <w:uiPriority w:val="0"/>
    <w:pPr>
      <w:spacing w:after="120"/>
      <w:ind w:left="420" w:leftChars="200"/>
    </w:pPr>
  </w:style>
  <w:style w:type="paragraph" w:styleId="40">
    <w:name w:val="Block Text"/>
    <w:basedOn w:val="1"/>
    <w:qFormat/>
    <w:uiPriority w:val="0"/>
    <w:pPr>
      <w:ind w:left="315" w:right="-512" w:hanging="315"/>
    </w:pPr>
    <w:rPr>
      <w:sz w:val="26"/>
    </w:rPr>
  </w:style>
  <w:style w:type="paragraph" w:styleId="41">
    <w:name w:val="List Bullet 2"/>
    <w:basedOn w:val="1"/>
    <w:qFormat/>
    <w:uiPriority w:val="0"/>
    <w:pPr>
      <w:numPr>
        <w:ilvl w:val="0"/>
        <w:numId w:val="7"/>
      </w:numPr>
    </w:pPr>
  </w:style>
  <w:style w:type="paragraph" w:styleId="42">
    <w:name w:val="HTML Address"/>
    <w:basedOn w:val="1"/>
    <w:link w:val="263"/>
    <w:qFormat/>
    <w:uiPriority w:val="0"/>
    <w:rPr>
      <w:i/>
      <w:iCs/>
    </w:rPr>
  </w:style>
  <w:style w:type="paragraph" w:styleId="43">
    <w:name w:val="index 4"/>
    <w:basedOn w:val="1"/>
    <w:next w:val="1"/>
    <w:qFormat/>
    <w:uiPriority w:val="0"/>
    <w:pPr>
      <w:widowControl/>
      <w:tabs>
        <w:tab w:val="right" w:leader="dot" w:pos="10092"/>
      </w:tabs>
      <w:spacing w:before="100" w:beforeAutospacing="1" w:after="100" w:afterAutospacing="1"/>
      <w:ind w:left="1040" w:right="142" w:hanging="260"/>
      <w:jc w:val="left"/>
    </w:pPr>
    <w:rPr>
      <w:rFonts w:ascii="Tahoma" w:hAnsi="Tahoma"/>
      <w:kern w:val="0"/>
      <w:sz w:val="20"/>
      <w:szCs w:val="20"/>
      <w:lang w:eastAsia="en-US"/>
    </w:rPr>
  </w:style>
  <w:style w:type="paragraph" w:styleId="44">
    <w:name w:val="toc 5"/>
    <w:basedOn w:val="1"/>
    <w:next w:val="1"/>
    <w:unhideWhenUsed/>
    <w:qFormat/>
    <w:uiPriority w:val="39"/>
    <w:pPr>
      <w:ind w:left="1680" w:leftChars="800"/>
    </w:pPr>
    <w:rPr>
      <w:rFonts w:ascii="Calibri" w:hAnsi="Calibri"/>
      <w:szCs w:val="22"/>
    </w:rPr>
  </w:style>
  <w:style w:type="paragraph" w:styleId="4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46">
    <w:name w:val="Plain Text"/>
    <w:basedOn w:val="1"/>
    <w:link w:val="228"/>
    <w:qFormat/>
    <w:uiPriority w:val="0"/>
    <w:rPr>
      <w:rFonts w:ascii="宋体" w:hAnsi="Courier New"/>
      <w:szCs w:val="21"/>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unhideWhenUsed/>
    <w:qFormat/>
    <w:uiPriority w:val="39"/>
    <w:pPr>
      <w:ind w:left="2940" w:leftChars="1400"/>
    </w:pPr>
    <w:rPr>
      <w:rFonts w:ascii="Calibri" w:hAnsi="Calibri"/>
      <w:szCs w:val="22"/>
    </w:rPr>
  </w:style>
  <w:style w:type="paragraph" w:styleId="50">
    <w:name w:val="index 3"/>
    <w:basedOn w:val="1"/>
    <w:next w:val="1"/>
    <w:qFormat/>
    <w:uiPriority w:val="0"/>
    <w:pPr>
      <w:widowControl/>
      <w:tabs>
        <w:tab w:val="right" w:leader="dot" w:pos="10092"/>
      </w:tabs>
      <w:spacing w:before="100" w:beforeAutospacing="1" w:after="100" w:afterAutospacing="1"/>
      <w:ind w:left="780" w:right="142" w:hanging="260"/>
      <w:jc w:val="left"/>
    </w:pPr>
    <w:rPr>
      <w:rFonts w:ascii="Tahoma" w:hAnsi="Tahoma"/>
      <w:kern w:val="0"/>
      <w:sz w:val="20"/>
      <w:szCs w:val="20"/>
      <w:lang w:eastAsia="en-US"/>
    </w:rPr>
  </w:style>
  <w:style w:type="paragraph" w:styleId="51">
    <w:name w:val="Date"/>
    <w:basedOn w:val="1"/>
    <w:next w:val="1"/>
    <w:link w:val="232"/>
    <w:qFormat/>
    <w:uiPriority w:val="0"/>
    <w:pPr>
      <w:ind w:left="100" w:leftChars="2500"/>
    </w:pPr>
    <w:rPr>
      <w:szCs w:val="20"/>
    </w:rPr>
  </w:style>
  <w:style w:type="paragraph" w:styleId="52">
    <w:name w:val="Body Text Indent 2"/>
    <w:basedOn w:val="1"/>
    <w:link w:val="229"/>
    <w:qFormat/>
    <w:uiPriority w:val="0"/>
    <w:pPr>
      <w:ind w:left="315" w:leftChars="150" w:firstLine="240" w:firstLineChars="100"/>
    </w:pPr>
    <w:rPr>
      <w:sz w:val="24"/>
    </w:rPr>
  </w:style>
  <w:style w:type="paragraph" w:styleId="53">
    <w:name w:val="endnote text"/>
    <w:basedOn w:val="1"/>
    <w:link w:val="249"/>
    <w:qFormat/>
    <w:uiPriority w:val="0"/>
    <w:pPr>
      <w:snapToGrid w:val="0"/>
      <w:jc w:val="left"/>
    </w:pPr>
    <w:rPr>
      <w:rFonts w:ascii="CG Times" w:hAnsi="CG Times" w:cs="Arial"/>
      <w:kern w:val="0"/>
      <w:sz w:val="24"/>
      <w:lang w:eastAsia="en-US"/>
    </w:rPr>
  </w:style>
  <w:style w:type="paragraph" w:styleId="54">
    <w:name w:val="List Continue 5"/>
    <w:basedOn w:val="1"/>
    <w:qFormat/>
    <w:uiPriority w:val="0"/>
    <w:pPr>
      <w:spacing w:after="120"/>
      <w:ind w:left="2100"/>
    </w:pPr>
  </w:style>
  <w:style w:type="paragraph" w:styleId="55">
    <w:name w:val="Balloon Text"/>
    <w:basedOn w:val="1"/>
    <w:link w:val="313"/>
    <w:qFormat/>
    <w:uiPriority w:val="0"/>
    <w:rPr>
      <w:sz w:val="18"/>
      <w:szCs w:val="18"/>
    </w:rPr>
  </w:style>
  <w:style w:type="paragraph" w:styleId="56">
    <w:name w:val="footer"/>
    <w:basedOn w:val="1"/>
    <w:link w:val="311"/>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312"/>
    <w:qFormat/>
    <w:uiPriority w:val="99"/>
    <w:pPr>
      <w:tabs>
        <w:tab w:val="center" w:pos="4153"/>
        <w:tab w:val="right" w:pos="8306"/>
      </w:tabs>
      <w:snapToGrid w:val="0"/>
      <w:jc w:val="center"/>
    </w:pPr>
    <w:rPr>
      <w:sz w:val="18"/>
      <w:szCs w:val="18"/>
    </w:rPr>
  </w:style>
  <w:style w:type="paragraph" w:styleId="59">
    <w:name w:val="Signature"/>
    <w:basedOn w:val="1"/>
    <w:link w:val="268"/>
    <w:qFormat/>
    <w:uiPriority w:val="0"/>
    <w:pPr>
      <w:ind w:left="4320"/>
    </w:pPr>
  </w:style>
  <w:style w:type="paragraph" w:styleId="6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61">
    <w:name w:val="List Continue 4"/>
    <w:basedOn w:val="1"/>
    <w:qFormat/>
    <w:uiPriority w:val="0"/>
    <w:pPr>
      <w:spacing w:after="120"/>
      <w:ind w:left="1680"/>
    </w:pPr>
  </w:style>
  <w:style w:type="paragraph" w:styleId="62">
    <w:name w:val="toc 4"/>
    <w:basedOn w:val="1"/>
    <w:next w:val="1"/>
    <w:unhideWhenUsed/>
    <w:qFormat/>
    <w:uiPriority w:val="39"/>
    <w:pPr>
      <w:ind w:left="1260" w:leftChars="600"/>
    </w:pPr>
    <w:rPr>
      <w:rFonts w:ascii="Calibri" w:hAnsi="Calibri"/>
      <w:szCs w:val="22"/>
    </w:rPr>
  </w:style>
  <w:style w:type="paragraph" w:styleId="63">
    <w:name w:val="index heading"/>
    <w:basedOn w:val="1"/>
    <w:next w:val="64"/>
    <w:qFormat/>
    <w:uiPriority w:val="0"/>
    <w:pPr>
      <w:widowControl/>
      <w:tabs>
        <w:tab w:val="right" w:leader="dot" w:pos="5415"/>
        <w:tab w:val="left" w:pos="5556"/>
        <w:tab w:val="left" w:pos="6691"/>
        <w:tab w:val="left" w:pos="10092"/>
      </w:tabs>
      <w:spacing w:before="100" w:beforeAutospacing="1" w:after="100" w:afterAutospacing="1"/>
      <w:ind w:left="1134" w:right="142"/>
      <w:jc w:val="left"/>
    </w:pPr>
    <w:rPr>
      <w:rFonts w:ascii="Tahoma" w:hAnsi="Tahoma"/>
      <w:b/>
      <w:i/>
      <w:kern w:val="0"/>
      <w:sz w:val="20"/>
      <w:szCs w:val="20"/>
      <w:lang w:eastAsia="en-US"/>
    </w:rPr>
  </w:style>
  <w:style w:type="paragraph" w:styleId="64">
    <w:name w:val="index 1"/>
    <w:basedOn w:val="1"/>
    <w:next w:val="1"/>
    <w:qFormat/>
    <w:uiPriority w:val="0"/>
  </w:style>
  <w:style w:type="paragraph" w:styleId="65">
    <w:name w:val="Subtitle"/>
    <w:basedOn w:val="1"/>
    <w:next w:val="1"/>
    <w:link w:val="24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420" w:hanging="420"/>
    </w:pPr>
    <w:rPr>
      <w:szCs w:val="20"/>
    </w:rPr>
  </w:style>
  <w:style w:type="paragraph" w:styleId="68">
    <w:name w:val="footnote text"/>
    <w:basedOn w:val="1"/>
    <w:link w:val="355"/>
    <w:qFormat/>
    <w:uiPriority w:val="0"/>
    <w:pPr>
      <w:widowControl/>
      <w:spacing w:before="100" w:beforeAutospacing="1" w:after="100" w:afterAutospacing="1"/>
      <w:ind w:left="1296" w:right="142" w:hanging="144"/>
      <w:jc w:val="left"/>
    </w:pPr>
    <w:rPr>
      <w:rFonts w:ascii="Tahoma" w:hAnsi="Tahoma"/>
      <w:kern w:val="0"/>
      <w:sz w:val="20"/>
      <w:szCs w:val="20"/>
      <w:lang w:eastAsia="en-US"/>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ind w:left="2100" w:hanging="420"/>
    </w:pPr>
  </w:style>
  <w:style w:type="paragraph" w:styleId="71">
    <w:name w:val="Body Text Indent 3"/>
    <w:basedOn w:val="1"/>
    <w:link w:val="227"/>
    <w:qFormat/>
    <w:uiPriority w:val="0"/>
    <w:pPr>
      <w:spacing w:after="120"/>
      <w:ind w:left="420" w:leftChars="200"/>
    </w:pPr>
    <w:rPr>
      <w:sz w:val="16"/>
      <w:szCs w:val="16"/>
    </w:rPr>
  </w:style>
  <w:style w:type="paragraph" w:styleId="72">
    <w:name w:val="index 7"/>
    <w:basedOn w:val="1"/>
    <w:next w:val="1"/>
    <w:qFormat/>
    <w:uiPriority w:val="0"/>
    <w:pPr>
      <w:widowControl/>
      <w:tabs>
        <w:tab w:val="right" w:leader="dot" w:pos="10092"/>
      </w:tabs>
      <w:spacing w:before="100" w:beforeAutospacing="1" w:after="100" w:afterAutospacing="1"/>
      <w:ind w:left="1820" w:right="142" w:hanging="260"/>
      <w:jc w:val="left"/>
    </w:pPr>
    <w:rPr>
      <w:rFonts w:ascii="Tahoma" w:hAnsi="Tahoma"/>
      <w:kern w:val="0"/>
      <w:sz w:val="20"/>
      <w:szCs w:val="20"/>
      <w:lang w:eastAsia="en-US"/>
    </w:rPr>
  </w:style>
  <w:style w:type="paragraph" w:styleId="73">
    <w:name w:val="index 9"/>
    <w:basedOn w:val="1"/>
    <w:next w:val="1"/>
    <w:qFormat/>
    <w:uiPriority w:val="0"/>
    <w:pPr>
      <w:widowControl/>
      <w:tabs>
        <w:tab w:val="right" w:leader="dot" w:pos="10092"/>
      </w:tabs>
      <w:spacing w:before="100" w:beforeAutospacing="1" w:after="100" w:afterAutospacing="1"/>
      <w:ind w:left="2340" w:right="142" w:hanging="260"/>
      <w:jc w:val="left"/>
    </w:pPr>
    <w:rPr>
      <w:rFonts w:ascii="Tahoma" w:hAnsi="Tahoma"/>
      <w:kern w:val="0"/>
      <w:sz w:val="20"/>
      <w:szCs w:val="20"/>
      <w:lang w:eastAsia="en-US"/>
    </w:rPr>
  </w:style>
  <w:style w:type="paragraph" w:styleId="74">
    <w:name w:val="table of figures"/>
    <w:basedOn w:val="1"/>
    <w:next w:val="1"/>
    <w:qFormat/>
    <w:uiPriority w:val="0"/>
    <w:pPr>
      <w:widowControl/>
      <w:tabs>
        <w:tab w:val="right" w:pos="10092"/>
      </w:tabs>
      <w:spacing w:before="100" w:beforeAutospacing="1" w:after="100" w:afterAutospacing="1"/>
      <w:ind w:right="142"/>
      <w:jc w:val="center"/>
    </w:pPr>
    <w:rPr>
      <w:rFonts w:ascii="Tahoma" w:hAnsi="Tahoma"/>
      <w:b/>
      <w:i/>
      <w:kern w:val="0"/>
      <w:sz w:val="20"/>
      <w:szCs w:val="20"/>
      <w:lang w:eastAsia="en-US"/>
    </w:rPr>
  </w:style>
  <w:style w:type="paragraph" w:styleId="75">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76">
    <w:name w:val="toc 9"/>
    <w:basedOn w:val="1"/>
    <w:next w:val="1"/>
    <w:unhideWhenUsed/>
    <w:qFormat/>
    <w:uiPriority w:val="39"/>
    <w:pPr>
      <w:ind w:left="3360" w:leftChars="1600"/>
    </w:pPr>
    <w:rPr>
      <w:rFonts w:ascii="Calibri" w:hAnsi="Calibri"/>
      <w:szCs w:val="22"/>
    </w:rPr>
  </w:style>
  <w:style w:type="paragraph" w:styleId="77">
    <w:name w:val="List 4"/>
    <w:basedOn w:val="1"/>
    <w:qFormat/>
    <w:uiPriority w:val="0"/>
    <w:pPr>
      <w:ind w:left="1680" w:hanging="420"/>
    </w:pPr>
  </w:style>
  <w:style w:type="paragraph" w:styleId="78">
    <w:name w:val="List Continue 2"/>
    <w:basedOn w:val="1"/>
    <w:qFormat/>
    <w:uiPriority w:val="0"/>
    <w:pPr>
      <w:spacing w:after="120"/>
      <w:ind w:left="840"/>
    </w:pPr>
  </w:style>
  <w:style w:type="paragraph" w:styleId="79">
    <w:name w:val="Message Header"/>
    <w:basedOn w:val="1"/>
    <w:link w:val="26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80">
    <w:name w:val="HTML Preformatted"/>
    <w:basedOn w:val="1"/>
    <w:link w:val="264"/>
    <w:qFormat/>
    <w:uiPriority w:val="0"/>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82">
    <w:name w:val="List Continue 3"/>
    <w:basedOn w:val="1"/>
    <w:qFormat/>
    <w:uiPriority w:val="0"/>
    <w:pPr>
      <w:spacing w:after="120"/>
      <w:ind w:left="1260"/>
    </w:pPr>
  </w:style>
  <w:style w:type="paragraph" w:styleId="83">
    <w:name w:val="index 2"/>
    <w:basedOn w:val="1"/>
    <w:next w:val="1"/>
    <w:qFormat/>
    <w:uiPriority w:val="0"/>
    <w:pPr>
      <w:widowControl/>
      <w:tabs>
        <w:tab w:val="right" w:leader="dot" w:pos="10092"/>
      </w:tabs>
      <w:spacing w:before="100" w:beforeAutospacing="1" w:after="100" w:afterAutospacing="1"/>
      <w:ind w:left="520" w:right="142" w:hanging="260"/>
      <w:jc w:val="left"/>
    </w:pPr>
    <w:rPr>
      <w:rFonts w:ascii="Tahoma" w:hAnsi="Tahoma"/>
      <w:kern w:val="0"/>
      <w:sz w:val="20"/>
      <w:szCs w:val="20"/>
      <w:lang w:eastAsia="en-US"/>
    </w:rPr>
  </w:style>
  <w:style w:type="paragraph" w:styleId="84">
    <w:name w:val="Title"/>
    <w:basedOn w:val="1"/>
    <w:next w:val="1"/>
    <w:link w:val="23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315"/>
    <w:qFormat/>
    <w:uiPriority w:val="99"/>
    <w:rPr>
      <w:b/>
      <w:bCs/>
    </w:rPr>
  </w:style>
  <w:style w:type="paragraph" w:styleId="86">
    <w:name w:val="Body Text First Indent"/>
    <w:basedOn w:val="34"/>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jc w:val="both"/>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jc w:val="both"/>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auto" w:sz="6" w:space="0"/>
          <w:right w:val="nil"/>
          <w:insideH w:val="nil"/>
          <w:insideV w:val="nil"/>
          <w:tl2br w:val="nil"/>
          <w:tr2bl w:val="nil"/>
        </w:tcBorders>
        <w:shd w:val="solid" w:color="008080" w:fill="FFFFFF"/>
      </w:tcPr>
    </w:tblStylePr>
    <w:tblStylePr w:type="firstCol">
      <w:tblPr/>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auto" w:sz="6" w:space="0"/>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jc w:val="both"/>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auto" w:sz="6" w:space="0"/>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jc w:val="both"/>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auto"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auto"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auto" w:sz="12" w:space="0"/>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single" w:color="auto"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jc w:val="both"/>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jc w:val="both"/>
    </w:pPr>
    <w:tblPr>
      <w:tblCellMar>
        <w:top w:w="0" w:type="dxa"/>
        <w:left w:w="108" w:type="dxa"/>
        <w:bottom w:w="0" w:type="dxa"/>
        <w:right w:w="108" w:type="dxa"/>
      </w:tblCellMar>
    </w:tblPr>
    <w:tblStylePr w:type="firstRow">
      <w:tblPr/>
      <w:tcPr>
        <w:tcBorders>
          <w:top w:val="single" w:color="auto" w:sz="6" w:space="0"/>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single" w:color="auto" w:sz="12" w:space="0"/>
          <w:bottom w:val="nil"/>
          <w:right w:val="nil"/>
          <w:insideH w:val="nil"/>
          <w:insideV w:val="nil"/>
          <w:tl2br w:val="nil"/>
          <w:tr2bl w:val="nil"/>
        </w:tcBorders>
      </w:tcPr>
    </w:tblStylePr>
    <w:tblStylePr w:type="band1Horz">
      <w:tblPr/>
      <w:tcPr>
        <w:tcBorders>
          <w:top w:val="nil"/>
          <w:left w:val="nil"/>
          <w:bottom w:val="single" w:color="auto"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jc w:val="both"/>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single" w:color="auto"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auto" w:sz="6" w:space="0"/>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auto" w:sz="6" w:space="0"/>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auto" w:sz="12" w:space="0"/>
          <w:right w:val="nil"/>
          <w:insideH w:val="nil"/>
          <w:insideV w:val="nil"/>
          <w:tl2br w:val="nil"/>
          <w:tr2bl w:val="nil"/>
        </w:tcBorders>
        <w:shd w:val="solid" w:color="808080" w:fill="FFFFFF"/>
      </w:tcPr>
    </w:tblStylePr>
  </w:style>
  <w:style w:type="table" w:styleId="111">
    <w:name w:val="Table List 5"/>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widowControl w:val="0"/>
      <w:jc w:val="both"/>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widowControl w:val="0"/>
      <w:jc w:val="both"/>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nil"/>
          <w:bottom w:val="single" w:color="auto" w:sz="6" w:space="0"/>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nil"/>
          <w:bottom w:val="double" w:color="auto"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qFormat/>
    <w:uiPriority w:val="0"/>
    <w:pPr>
      <w:widowControl w:val="0"/>
      <w:jc w:val="both"/>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widowControl w:val="0"/>
      <w:jc w:val="both"/>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auto" w:sz="12" w:space="0"/>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qFormat/>
    <w:uiPriority w:val="0"/>
  </w:style>
  <w:style w:type="character" w:styleId="136">
    <w:name w:val="FollowedHyperlink"/>
    <w:qFormat/>
    <w:uiPriority w:val="0"/>
    <w:rPr>
      <w:color w:val="800080"/>
      <w:u w:val="single"/>
    </w:rPr>
  </w:style>
  <w:style w:type="character" w:styleId="137">
    <w:name w:val="Emphasis"/>
    <w:qFormat/>
    <w:uiPriority w:val="0"/>
    <w:rPr>
      <w:i/>
      <w:iCs/>
    </w:rPr>
  </w:style>
  <w:style w:type="character" w:styleId="138">
    <w:name w:val="line number"/>
    <w:basedOn w:val="133"/>
    <w:qFormat/>
    <w:uiPriority w:val="0"/>
  </w:style>
  <w:style w:type="character" w:styleId="139">
    <w:name w:val="HTML Definition"/>
    <w:qFormat/>
    <w:uiPriority w:val="0"/>
    <w:rPr>
      <w:i/>
      <w:iCs/>
    </w:rPr>
  </w:style>
  <w:style w:type="character" w:styleId="140">
    <w:name w:val="HTML Typewriter"/>
    <w:qFormat/>
    <w:uiPriority w:val="0"/>
    <w:rPr>
      <w:rFonts w:ascii="Courier New" w:hAnsi="Courier New" w:cs="Courier New"/>
      <w:sz w:val="20"/>
      <w:szCs w:val="20"/>
    </w:rPr>
  </w:style>
  <w:style w:type="character" w:styleId="141">
    <w:name w:val="HTML Acronym"/>
    <w:basedOn w:val="133"/>
    <w:qFormat/>
    <w:uiPriority w:val="0"/>
  </w:style>
  <w:style w:type="character" w:styleId="142">
    <w:name w:val="HTML Variable"/>
    <w:qFormat/>
    <w:uiPriority w:val="0"/>
    <w:rPr>
      <w:i/>
      <w:iCs/>
    </w:rPr>
  </w:style>
  <w:style w:type="character" w:styleId="143">
    <w:name w:val="Hyperlink"/>
    <w:qFormat/>
    <w:uiPriority w:val="99"/>
    <w:rPr>
      <w:color w:val="0000FF"/>
      <w:u w:val="single"/>
    </w:rPr>
  </w:style>
  <w:style w:type="character" w:styleId="144">
    <w:name w:val="HTML Code"/>
    <w:qFormat/>
    <w:uiPriority w:val="0"/>
    <w:rPr>
      <w:rFonts w:ascii="Courier New" w:hAnsi="Courier New" w:cs="Courier New"/>
      <w:sz w:val="20"/>
      <w:szCs w:val="20"/>
    </w:rPr>
  </w:style>
  <w:style w:type="character" w:styleId="145">
    <w:name w:val="annotation reference"/>
    <w:qFormat/>
    <w:uiPriority w:val="99"/>
    <w:rPr>
      <w:sz w:val="21"/>
      <w:szCs w:val="21"/>
    </w:rPr>
  </w:style>
  <w:style w:type="character" w:styleId="146">
    <w:name w:val="HTML Cite"/>
    <w:qFormat/>
    <w:uiPriority w:val="0"/>
    <w:rPr>
      <w:i/>
      <w:iCs/>
    </w:rPr>
  </w:style>
  <w:style w:type="character" w:styleId="147">
    <w:name w:val="footnote reference"/>
    <w:qFormat/>
    <w:uiPriority w:val="0"/>
    <w:rPr>
      <w:rFonts w:ascii="Times New Roman" w:hAnsi="Times New Roman" w:eastAsia="宋体" w:cs="Times New Roman"/>
      <w:position w:val="6"/>
      <w:sz w:val="16"/>
    </w:rPr>
  </w:style>
  <w:style w:type="character" w:styleId="148">
    <w:name w:val="HTML Keyboard"/>
    <w:qFormat/>
    <w:uiPriority w:val="0"/>
    <w:rPr>
      <w:rFonts w:ascii="Courier New" w:hAnsi="Courier New" w:cs="Courier New"/>
      <w:sz w:val="20"/>
      <w:szCs w:val="20"/>
    </w:rPr>
  </w:style>
  <w:style w:type="character" w:styleId="149">
    <w:name w:val="HTML Sample"/>
    <w:qFormat/>
    <w:uiPriority w:val="0"/>
    <w:rPr>
      <w:rFonts w:ascii="Courier New" w:hAnsi="Courier New" w:cs="Courier New"/>
    </w:rPr>
  </w:style>
  <w:style w:type="paragraph" w:customStyle="1" w:styleId="150">
    <w:name w:val="Char Char Char Char"/>
    <w:basedOn w:val="1"/>
    <w:qFormat/>
    <w:uiPriority w:val="0"/>
    <w:rPr>
      <w:rFonts w:ascii="Tahoma" w:hAnsi="Tahoma"/>
      <w:sz w:val="24"/>
      <w:szCs w:val="20"/>
    </w:rPr>
  </w:style>
  <w:style w:type="paragraph" w:customStyle="1" w:styleId="151">
    <w:name w:val="Char Char Char Char Char Char Char1"/>
    <w:basedOn w:val="1"/>
    <w:qFormat/>
    <w:uiPriority w:val="0"/>
  </w:style>
  <w:style w:type="paragraph" w:customStyle="1" w:styleId="15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样式3"/>
    <w:basedOn w:val="1"/>
    <w:qFormat/>
    <w:uiPriority w:val="0"/>
    <w:pPr>
      <w:adjustRightInd w:val="0"/>
      <w:snapToGrid w:val="0"/>
      <w:spacing w:beforeLines="50" w:afterLines="50" w:line="480" w:lineRule="exact"/>
      <w:outlineLvl w:val="2"/>
    </w:pPr>
    <w:rPr>
      <w:rFonts w:eastAsia="黑体"/>
      <w:sz w:val="28"/>
    </w:rPr>
  </w:style>
  <w:style w:type="paragraph" w:customStyle="1" w:styleId="154">
    <w:name w:val="样式1"/>
    <w:basedOn w:val="1"/>
    <w:qFormat/>
    <w:uiPriority w:val="0"/>
    <w:pPr>
      <w:spacing w:line="480" w:lineRule="exact"/>
      <w:jc w:val="center"/>
    </w:pPr>
    <w:rPr>
      <w:rFonts w:ascii="宋体" w:hAnsi="宋体"/>
      <w:color w:val="000000"/>
      <w:sz w:val="15"/>
      <w:szCs w:val="15"/>
    </w:rPr>
  </w:style>
  <w:style w:type="paragraph" w:customStyle="1" w:styleId="155">
    <w:name w:val="Char Char1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156">
    <w:name w:val="4正文"/>
    <w:basedOn w:val="1"/>
    <w:qFormat/>
    <w:uiPriority w:val="0"/>
    <w:pPr>
      <w:spacing w:before="10" w:after="10" w:line="480" w:lineRule="exact"/>
      <w:ind w:firstLine="200" w:firstLineChars="200"/>
    </w:pPr>
    <w:rPr>
      <w:sz w:val="28"/>
    </w:rPr>
  </w:style>
  <w:style w:type="paragraph" w:customStyle="1" w:styleId="157">
    <w:name w:val="Char Char Char Char1"/>
    <w:basedOn w:val="1"/>
    <w:qFormat/>
    <w:uiPriority w:val="0"/>
    <w:rPr>
      <w:rFonts w:ascii="Tahoma" w:hAnsi="Tahoma"/>
      <w:sz w:val="24"/>
      <w:szCs w:val="20"/>
    </w:rPr>
  </w:style>
  <w:style w:type="paragraph" w:customStyle="1" w:styleId="158">
    <w:name w:val="Char Char1 Char Char Char Char Char Char Char Char Char Char Char Char Char Char Char Char Char Char1"/>
    <w:basedOn w:val="1"/>
    <w:qFormat/>
    <w:uiPriority w:val="0"/>
    <w:pPr>
      <w:widowControl/>
      <w:spacing w:after="160" w:line="240" w:lineRule="exact"/>
      <w:jc w:val="left"/>
    </w:pPr>
    <w:rPr>
      <w:rFonts w:eastAsia="Times New Roman"/>
      <w:kern w:val="0"/>
      <w:sz w:val="20"/>
      <w:szCs w:val="20"/>
    </w:rPr>
  </w:style>
  <w:style w:type="paragraph" w:customStyle="1" w:styleId="159">
    <w:name w:val="列出段落1"/>
    <w:basedOn w:val="1"/>
    <w:qFormat/>
    <w:uiPriority w:val="34"/>
    <w:pPr>
      <w:ind w:firstLine="420" w:firstLineChars="200"/>
    </w:pPr>
  </w:style>
  <w:style w:type="paragraph" w:customStyle="1" w:styleId="160">
    <w:name w:val="Table_Text"/>
    <w:basedOn w:val="1"/>
    <w:qFormat/>
    <w:uiPriority w:val="0"/>
    <w:pPr>
      <w:widowControl/>
      <w:suppressAutoHyphens/>
      <w:spacing w:before="120" w:after="120"/>
    </w:pPr>
    <w:rPr>
      <w:rFonts w:ascii="Arial" w:hAnsi="Arial"/>
      <w:spacing w:val="-2"/>
      <w:kern w:val="0"/>
      <w:sz w:val="22"/>
      <w:szCs w:val="20"/>
    </w:rPr>
  </w:style>
  <w:style w:type="paragraph" w:customStyle="1" w:styleId="161">
    <w:name w:val="正文2"/>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customStyle="1" w:styleId="162">
    <w:name w:val="68BAF9E1919946E38FBF9403D0201D18"/>
    <w:qFormat/>
    <w:uiPriority w:val="0"/>
    <w:pPr>
      <w:spacing w:after="200" w:line="276" w:lineRule="auto"/>
    </w:pPr>
    <w:rPr>
      <w:rFonts w:ascii="Calibri" w:hAnsi="Calibri" w:eastAsia="宋体" w:cs="Times New Roman"/>
      <w:sz w:val="22"/>
      <w:szCs w:val="22"/>
      <w:lang w:val="en-US" w:eastAsia="en-US" w:bidi="ar-SA"/>
    </w:rPr>
  </w:style>
  <w:style w:type="paragraph" w:customStyle="1" w:styleId="163">
    <w:name w:val="Absatz2AL"/>
    <w:basedOn w:val="34"/>
    <w:next w:val="1"/>
    <w:qFormat/>
    <w:uiPriority w:val="0"/>
    <w:pPr>
      <w:widowControl/>
      <w:overflowPunct w:val="0"/>
      <w:autoSpaceDE w:val="0"/>
      <w:autoSpaceDN w:val="0"/>
      <w:adjustRightInd w:val="0"/>
      <w:spacing w:after="0"/>
    </w:pPr>
    <w:rPr>
      <w:rFonts w:eastAsia="楷体_GB2312"/>
      <w:kern w:val="0"/>
      <w:sz w:val="24"/>
      <w:szCs w:val="20"/>
    </w:rPr>
  </w:style>
  <w:style w:type="paragraph" w:customStyle="1" w:styleId="164">
    <w:name w:val="Outokumpu Normal"/>
    <w:basedOn w:val="1"/>
    <w:link w:val="230"/>
    <w:qFormat/>
    <w:uiPriority w:val="0"/>
    <w:pPr>
      <w:widowControl/>
      <w:ind w:left="1134"/>
      <w:jc w:val="left"/>
    </w:pPr>
    <w:rPr>
      <w:rFonts w:ascii="Arial" w:hAnsi="Arial"/>
      <w:kern w:val="0"/>
      <w:sz w:val="22"/>
      <w:szCs w:val="22"/>
    </w:rPr>
  </w:style>
  <w:style w:type="paragraph" w:customStyle="1" w:styleId="165">
    <w:name w:val="默认段落字体 Para Char Char Char Char"/>
    <w:basedOn w:val="1"/>
    <w:qFormat/>
    <w:uiPriority w:val="0"/>
  </w:style>
  <w:style w:type="paragraph" w:customStyle="1" w:styleId="166">
    <w:name w:val="首缩2字正文"/>
    <w:basedOn w:val="1"/>
    <w:qFormat/>
    <w:uiPriority w:val="0"/>
    <w:pPr>
      <w:ind w:firstLine="200" w:firstLineChars="200"/>
      <w:jc w:val="left"/>
    </w:pPr>
    <w:rPr>
      <w:rFonts w:eastAsia="仿宋_GB2312"/>
      <w:sz w:val="24"/>
    </w:rPr>
  </w:style>
  <w:style w:type="paragraph" w:customStyle="1" w:styleId="167">
    <w:name w:val="Table_Heading"/>
    <w:basedOn w:val="1"/>
    <w:qFormat/>
    <w:uiPriority w:val="0"/>
    <w:pPr>
      <w:widowControl/>
      <w:suppressAutoHyphens/>
      <w:spacing w:before="120" w:after="120"/>
      <w:jc w:val="center"/>
    </w:pPr>
    <w:rPr>
      <w:rFonts w:ascii="Arial" w:hAnsi="Arial"/>
      <w:b/>
      <w:spacing w:val="-2"/>
      <w:kern w:val="0"/>
      <w:sz w:val="22"/>
      <w:szCs w:val="20"/>
    </w:rPr>
  </w:style>
  <w:style w:type="paragraph" w:customStyle="1" w:styleId="168">
    <w:name w:val="TOC 标题1"/>
    <w:basedOn w:val="3"/>
    <w:next w:val="1"/>
    <w:unhideWhenUsed/>
    <w:qFormat/>
    <w:uiPriority w:val="0"/>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169">
    <w:name w:val="表格"/>
    <w:basedOn w:val="1"/>
    <w:qFormat/>
    <w:uiPriority w:val="0"/>
    <w:pPr>
      <w:jc w:val="center"/>
    </w:pPr>
    <w:rPr>
      <w:rFonts w:eastAsia="Times New Roman"/>
    </w:rPr>
  </w:style>
  <w:style w:type="paragraph" w:customStyle="1" w:styleId="170">
    <w:name w:val="Char Char Char Char Char Char Char"/>
    <w:basedOn w:val="1"/>
    <w:qFormat/>
    <w:uiPriority w:val="0"/>
    <w:rPr>
      <w:rFonts w:ascii="Arial" w:hAnsi="Arial"/>
      <w:spacing w:val="-5"/>
      <w:kern w:val="0"/>
      <w:sz w:val="20"/>
      <w:szCs w:val="20"/>
    </w:rPr>
  </w:style>
  <w:style w:type="paragraph" w:customStyle="1" w:styleId="171">
    <w:name w:val="Char Char Char Char2"/>
    <w:basedOn w:val="1"/>
    <w:qFormat/>
    <w:uiPriority w:val="0"/>
    <w:pPr>
      <w:spacing w:line="240" w:lineRule="exact"/>
    </w:pPr>
  </w:style>
  <w:style w:type="paragraph" w:customStyle="1" w:styleId="172">
    <w:name w:val="Char"/>
    <w:basedOn w:val="1"/>
    <w:qFormat/>
    <w:uiPriority w:val="0"/>
  </w:style>
  <w:style w:type="paragraph" w:customStyle="1" w:styleId="173">
    <w:name w:val="Char Char Char1 Char"/>
    <w:basedOn w:val="1"/>
    <w:qFormat/>
    <w:uiPriority w:val="0"/>
  </w:style>
  <w:style w:type="paragraph" w:customStyle="1" w:styleId="174">
    <w:name w:val="0"/>
    <w:basedOn w:val="1"/>
    <w:link w:val="245"/>
    <w:qFormat/>
    <w:uiPriority w:val="0"/>
    <w:pPr>
      <w:widowControl/>
    </w:pPr>
    <w:rPr>
      <w:kern w:val="0"/>
      <w:szCs w:val="21"/>
    </w:rPr>
  </w:style>
  <w:style w:type="paragraph" w:customStyle="1" w:styleId="175">
    <w:name w:val="betreff"/>
    <w:basedOn w:val="1"/>
    <w:next w:val="1"/>
    <w:qFormat/>
    <w:uiPriority w:val="0"/>
    <w:pPr>
      <w:widowControl/>
      <w:spacing w:before="360" w:after="240" w:line="260" w:lineRule="atLeast"/>
      <w:jc w:val="left"/>
    </w:pPr>
    <w:rPr>
      <w:rFonts w:ascii="Arial" w:hAnsi="Arial"/>
      <w:b/>
      <w:kern w:val="0"/>
      <w:sz w:val="24"/>
    </w:rPr>
  </w:style>
  <w:style w:type="paragraph" w:customStyle="1" w:styleId="176">
    <w:name w:val="正文-1"/>
    <w:basedOn w:val="1"/>
    <w:qFormat/>
    <w:uiPriority w:val="0"/>
    <w:pPr>
      <w:ind w:firstLine="432"/>
    </w:pPr>
    <w:rPr>
      <w:sz w:val="24"/>
      <w:szCs w:val="20"/>
    </w:rPr>
  </w:style>
  <w:style w:type="paragraph" w:customStyle="1" w:styleId="177">
    <w:name w:val="font6"/>
    <w:basedOn w:val="1"/>
    <w:qFormat/>
    <w:uiPriority w:val="0"/>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8">
    <w:name w:val="Para"/>
    <w:basedOn w:val="1"/>
    <w:qFormat/>
    <w:uiPriority w:val="0"/>
    <w:pPr>
      <w:spacing w:before="120" w:after="80" w:line="360" w:lineRule="atLeast"/>
    </w:pPr>
    <w:rPr>
      <w:rFonts w:ascii="宋体" w:cs="宋体"/>
      <w:kern w:val="0"/>
      <w:sz w:val="22"/>
      <w:szCs w:val="22"/>
      <w:lang w:eastAsia="en-US"/>
    </w:rPr>
  </w:style>
  <w:style w:type="paragraph" w:customStyle="1" w:styleId="179">
    <w:name w:val="List Paragraph1"/>
    <w:basedOn w:val="1"/>
    <w:qFormat/>
    <w:uiPriority w:val="0"/>
    <w:pPr>
      <w:widowControl/>
      <w:ind w:left="720"/>
      <w:jc w:val="left"/>
    </w:pPr>
    <w:rPr>
      <w:kern w:val="0"/>
      <w:sz w:val="20"/>
      <w:szCs w:val="20"/>
    </w:rPr>
  </w:style>
  <w:style w:type="paragraph" w:customStyle="1" w:styleId="180">
    <w:name w:val="正文缩进1"/>
    <w:basedOn w:val="1"/>
    <w:qFormat/>
    <w:uiPriority w:val="0"/>
    <w:pPr>
      <w:autoSpaceDE w:val="0"/>
      <w:autoSpaceDN w:val="0"/>
      <w:ind w:firstLine="420"/>
      <w:jc w:val="left"/>
    </w:pPr>
    <w:rPr>
      <w:rFonts w:hint="eastAsia" w:ascii="宋体"/>
      <w:sz w:val="24"/>
    </w:rPr>
  </w:style>
  <w:style w:type="paragraph" w:customStyle="1" w:styleId="1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2">
    <w:name w:val="正文1"/>
    <w:basedOn w:val="1"/>
    <w:qFormat/>
    <w:uiPriority w:val="0"/>
    <w:pPr>
      <w:numPr>
        <w:ilvl w:val="0"/>
        <w:numId w:val="11"/>
      </w:numPr>
    </w:pPr>
    <w:rPr>
      <w:sz w:val="28"/>
      <w:szCs w:val="20"/>
    </w:rPr>
  </w:style>
  <w:style w:type="paragraph" w:customStyle="1" w:styleId="183">
    <w:name w:val="xl24"/>
    <w:basedOn w:val="1"/>
    <w:qFormat/>
    <w:uiPriority w:val="0"/>
    <w:pPr>
      <w:widowControl/>
      <w:spacing w:before="100" w:beforeAutospacing="1" w:after="100" w:afterAutospacing="1"/>
    </w:pPr>
    <w:rPr>
      <w:rFonts w:eastAsia="Arial Unicode MS"/>
      <w:kern w:val="0"/>
      <w:sz w:val="24"/>
    </w:rPr>
  </w:style>
  <w:style w:type="paragraph" w:customStyle="1" w:styleId="184">
    <w:name w:val="Char1"/>
    <w:basedOn w:val="1"/>
    <w:qFormat/>
    <w:uiPriority w:val="0"/>
  </w:style>
  <w:style w:type="paragraph" w:customStyle="1" w:styleId="185">
    <w:name w:val="无间隔1"/>
    <w:link w:val="258"/>
    <w:qFormat/>
    <w:uiPriority w:val="1"/>
    <w:rPr>
      <w:rFonts w:ascii="Calibri" w:hAnsi="Calibri" w:eastAsia="宋体" w:cs="Times New Roman"/>
      <w:sz w:val="22"/>
      <w:szCs w:val="22"/>
      <w:lang w:val="en-US" w:eastAsia="zh-CN" w:bidi="ar-SA"/>
    </w:rPr>
  </w:style>
  <w:style w:type="paragraph" w:customStyle="1" w:styleId="18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87">
    <w:name w:val="Char Char Char Char Char Char Char Char Char Char Char Char Char Char Char Char Char"/>
    <w:basedOn w:val="1"/>
    <w:qFormat/>
    <w:uiPriority w:val="0"/>
  </w:style>
  <w:style w:type="paragraph" w:customStyle="1" w:styleId="188">
    <w:name w:val="表格侧编号"/>
    <w:next w:val="1"/>
    <w:qFormat/>
    <w:uiPriority w:val="0"/>
    <w:pPr>
      <w:widowControl w:val="0"/>
      <w:spacing w:line="360" w:lineRule="auto"/>
      <w:jc w:val="center"/>
    </w:pPr>
    <w:rPr>
      <w:rFonts w:ascii="Arial" w:hAnsi="Arial" w:eastAsia="宋体" w:cs="Times New Roman"/>
      <w:kern w:val="2"/>
      <w:sz w:val="21"/>
      <w:lang w:val="en-US" w:eastAsia="zh-CN" w:bidi="ar-SA"/>
    </w:rPr>
  </w:style>
  <w:style w:type="paragraph" w:customStyle="1" w:styleId="189">
    <w:name w:val="列出段落111"/>
    <w:basedOn w:val="1"/>
    <w:qFormat/>
    <w:uiPriority w:val="0"/>
    <w:pPr>
      <w:ind w:firstLine="420" w:firstLineChars="200"/>
    </w:pPr>
    <w:rPr>
      <w:rFonts w:ascii="Calibri" w:hAnsi="Calibri"/>
      <w:szCs w:val="22"/>
    </w:rPr>
  </w:style>
  <w:style w:type="paragraph" w:customStyle="1" w:styleId="190">
    <w:name w:val="无间隔111"/>
    <w:link w:val="260"/>
    <w:qFormat/>
    <w:uiPriority w:val="0"/>
    <w:rPr>
      <w:rFonts w:ascii="Calibri" w:hAnsi="Calibri" w:eastAsia="宋体" w:cs="Times New Roman"/>
      <w:sz w:val="22"/>
      <w:lang w:val="en-US" w:eastAsia="zh-CN" w:bidi="ar-SA"/>
    </w:rPr>
  </w:style>
  <w:style w:type="paragraph" w:customStyle="1" w:styleId="191">
    <w:name w:val="Char Char"/>
    <w:basedOn w:val="1"/>
    <w:qFormat/>
    <w:uiPriority w:val="0"/>
  </w:style>
  <w:style w:type="paragraph" w:customStyle="1" w:styleId="192">
    <w:name w:val="Char1 Char Char Char1"/>
    <w:basedOn w:val="1"/>
    <w:qFormat/>
    <w:uiPriority w:val="0"/>
    <w:rPr>
      <w:szCs w:val="21"/>
    </w:rPr>
  </w:style>
  <w:style w:type="paragraph" w:customStyle="1" w:styleId="193">
    <w:name w:val="正文文字缩进 2"/>
    <w:basedOn w:val="1"/>
    <w:qFormat/>
    <w:uiPriority w:val="0"/>
    <w:pPr>
      <w:widowControl/>
      <w:spacing w:line="425" w:lineRule="atLeast"/>
      <w:ind w:firstLine="566"/>
      <w:textAlignment w:val="baseline"/>
    </w:pPr>
    <w:rPr>
      <w:color w:val="000000"/>
      <w:kern w:val="0"/>
      <w:szCs w:val="20"/>
      <w:u w:color="000000"/>
    </w:rPr>
  </w:style>
  <w:style w:type="paragraph" w:customStyle="1" w:styleId="194">
    <w:name w:val="样式7"/>
    <w:basedOn w:val="1"/>
    <w:qFormat/>
    <w:uiPriority w:val="0"/>
    <w:pPr>
      <w:snapToGrid w:val="0"/>
    </w:pPr>
  </w:style>
  <w:style w:type="paragraph" w:customStyle="1" w:styleId="195">
    <w:name w:val="图说"/>
    <w:basedOn w:val="1"/>
    <w:qFormat/>
    <w:uiPriority w:val="0"/>
    <w:pPr>
      <w:topLinePunct/>
      <w:spacing w:before="40" w:after="160"/>
      <w:jc w:val="center"/>
    </w:pPr>
    <w:rPr>
      <w:rFonts w:cs="宋体"/>
      <w:sz w:val="18"/>
      <w:szCs w:val="20"/>
    </w:rPr>
  </w:style>
  <w:style w:type="paragraph" w:customStyle="1" w:styleId="196">
    <w:name w:val="样式2"/>
    <w:basedOn w:val="4"/>
    <w:qFormat/>
    <w:uiPriority w:val="0"/>
    <w:pPr>
      <w:keepLines/>
      <w:numPr>
        <w:numId w:val="0"/>
      </w:numPr>
      <w:tabs>
        <w:tab w:val="left" w:pos="567"/>
        <w:tab w:val="left" w:pos="850"/>
        <w:tab w:val="clear" w:pos="960"/>
        <w:tab w:val="clear" w:pos="1050"/>
      </w:tabs>
      <w:topLinePunct/>
      <w:spacing w:line="960" w:lineRule="auto"/>
      <w:ind w:firstLine="420"/>
      <w:jc w:val="left"/>
    </w:pPr>
    <w:rPr>
      <w:rFonts w:ascii="Times New Roman" w:hAnsi="Times New Roman" w:eastAsia="黑体" w:cs="Times New Roman"/>
      <w:sz w:val="36"/>
      <w:szCs w:val="36"/>
    </w:rPr>
  </w:style>
  <w:style w:type="paragraph" w:customStyle="1" w:styleId="197">
    <w:name w:val="样式4"/>
    <w:basedOn w:val="6"/>
    <w:qFormat/>
    <w:uiPriority w:val="0"/>
    <w:pPr>
      <w:topLinePunct/>
      <w:spacing w:before="0" w:after="0" w:line="480" w:lineRule="auto"/>
      <w:ind w:firstLine="420"/>
    </w:pPr>
    <w:rPr>
      <w:rFonts w:ascii="Times New Roman" w:hAnsi="Times New Roman" w:eastAsia="楷体_GB2312"/>
      <w:b w:val="0"/>
      <w:bCs w:val="0"/>
      <w:sz w:val="24"/>
      <w:szCs w:val="20"/>
    </w:rPr>
  </w:style>
  <w:style w:type="paragraph" w:customStyle="1" w:styleId="198">
    <w:name w:val="样式5"/>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199">
    <w:name w:val="jl 正文"/>
    <w:basedOn w:val="1"/>
    <w:qFormat/>
    <w:uiPriority w:val="0"/>
    <w:pPr>
      <w:autoSpaceDE w:val="0"/>
      <w:autoSpaceDN w:val="0"/>
      <w:adjustRightInd w:val="0"/>
      <w:ind w:firstLine="200" w:firstLineChars="200"/>
      <w:jc w:val="left"/>
      <w:textAlignment w:val="baseline"/>
    </w:pPr>
    <w:rPr>
      <w:rFonts w:ascii="宋体"/>
      <w:kern w:val="0"/>
      <w:sz w:val="24"/>
    </w:rPr>
  </w:style>
  <w:style w:type="paragraph" w:customStyle="1" w:styleId="200">
    <w:name w:val="标题 3 + 小四 段前: 0 磅 段后: 0 磅 行距: 1.5 倍行距"/>
    <w:basedOn w:val="5"/>
    <w:next w:val="5"/>
    <w:qFormat/>
    <w:uiPriority w:val="0"/>
    <w:pPr>
      <w:spacing w:before="0" w:after="0" w:line="360" w:lineRule="auto"/>
    </w:pPr>
    <w:rPr>
      <w:rFonts w:cs="宋体"/>
      <w:sz w:val="24"/>
      <w:szCs w:val="20"/>
    </w:rPr>
  </w:style>
  <w:style w:type="paragraph" w:customStyle="1" w:styleId="201">
    <w:name w:val="默认段落字体 Para Char Char Char Char Char"/>
    <w:basedOn w:val="1"/>
    <w:qFormat/>
    <w:uiPriority w:val="0"/>
    <w:rPr>
      <w:rFonts w:ascii="宋体" w:hAnsi="宋体"/>
      <w:b/>
      <w:color w:val="000000"/>
      <w:sz w:val="24"/>
    </w:rPr>
  </w:style>
  <w:style w:type="paragraph" w:customStyle="1" w:styleId="202">
    <w:name w:val="jl 正文 Char Char"/>
    <w:basedOn w:val="1"/>
    <w:link w:val="261"/>
    <w:qFormat/>
    <w:uiPriority w:val="0"/>
    <w:pPr>
      <w:autoSpaceDE w:val="0"/>
      <w:autoSpaceDN w:val="0"/>
      <w:adjustRightInd w:val="0"/>
      <w:ind w:firstLine="200" w:firstLineChars="200"/>
      <w:jc w:val="left"/>
      <w:textAlignment w:val="baseline"/>
    </w:pPr>
    <w:rPr>
      <w:rFonts w:ascii="宋体"/>
      <w:sz w:val="24"/>
    </w:rPr>
  </w:style>
  <w:style w:type="paragraph" w:customStyle="1" w:styleId="203">
    <w:name w:val="jl 三级 Char"/>
    <w:basedOn w:val="1"/>
    <w:link w:val="262"/>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rPr>
  </w:style>
  <w:style w:type="paragraph" w:customStyle="1" w:styleId="204">
    <w:name w:val="附录"/>
    <w:basedOn w:val="3"/>
    <w:qFormat/>
    <w:uiPriority w:val="0"/>
    <w:pPr>
      <w:keepLines/>
      <w:tabs>
        <w:tab w:val="clear" w:pos="420"/>
        <w:tab w:val="clear" w:pos="1050"/>
      </w:tabs>
      <w:topLinePunct/>
      <w:spacing w:line="960" w:lineRule="auto"/>
      <w:ind w:firstLine="420"/>
      <w:jc w:val="center"/>
      <w:textAlignment w:val="baseline"/>
    </w:pPr>
    <w:rPr>
      <w:rFonts w:ascii="Times New Roman" w:eastAsia="黑体"/>
      <w:szCs w:val="28"/>
    </w:rPr>
  </w:style>
  <w:style w:type="paragraph" w:customStyle="1" w:styleId="205">
    <w:name w:val="样式6"/>
    <w:basedOn w:val="1"/>
    <w:link w:val="271"/>
    <w:qFormat/>
    <w:uiPriority w:val="0"/>
    <w:pPr>
      <w:topLinePunct/>
      <w:spacing w:before="160" w:after="60"/>
      <w:jc w:val="center"/>
    </w:pPr>
    <w:rPr>
      <w:rFonts w:eastAsia="黑体"/>
      <w:szCs w:val="21"/>
    </w:rPr>
  </w:style>
  <w:style w:type="paragraph" w:customStyle="1" w:styleId="206">
    <w:name w:val="表文"/>
    <w:basedOn w:val="1"/>
    <w:qFormat/>
    <w:uiPriority w:val="0"/>
    <w:pPr>
      <w:topLinePunct/>
      <w:spacing w:before="40" w:after="40"/>
    </w:pPr>
    <w:rPr>
      <w:sz w:val="18"/>
      <w:szCs w:val="18"/>
    </w:rPr>
  </w:style>
  <w:style w:type="paragraph" w:customStyle="1" w:styleId="207">
    <w:name w:val="表头"/>
    <w:basedOn w:val="1"/>
    <w:link w:val="275"/>
    <w:qFormat/>
    <w:uiPriority w:val="0"/>
    <w:pPr>
      <w:topLinePunct/>
      <w:spacing w:before="160" w:after="60"/>
      <w:jc w:val="center"/>
    </w:pPr>
    <w:rPr>
      <w:rFonts w:eastAsia="黑体"/>
      <w:szCs w:val="21"/>
    </w:rPr>
  </w:style>
  <w:style w:type="paragraph" w:customStyle="1" w:styleId="208">
    <w:name w:val="标题 3 + 四 段前: 0 磅 段后: 0 磅 行距: 1.5 倍行距"/>
    <w:basedOn w:val="5"/>
    <w:next w:val="5"/>
    <w:link w:val="273"/>
    <w:qFormat/>
    <w:uiPriority w:val="0"/>
    <w:pPr>
      <w:spacing w:before="0" w:after="0" w:line="360" w:lineRule="auto"/>
    </w:pPr>
    <w:rPr>
      <w:rFonts w:cs="宋体"/>
      <w:sz w:val="28"/>
      <w:szCs w:val="28"/>
    </w:rPr>
  </w:style>
  <w:style w:type="paragraph" w:customStyle="1" w:styleId="209">
    <w:name w:val="正文格式"/>
    <w:basedOn w:val="1"/>
    <w:link w:val="274"/>
    <w:qFormat/>
    <w:uiPriority w:val="0"/>
    <w:pPr>
      <w:topLinePunct/>
      <w:ind w:firstLine="420" w:firstLineChars="200"/>
    </w:pPr>
    <w:rPr>
      <w:rFonts w:ascii="宋体" w:hAnsi="宋体"/>
      <w:bCs/>
      <w:szCs w:val="21"/>
    </w:rPr>
  </w:style>
  <w:style w:type="paragraph" w:customStyle="1" w:styleId="210">
    <w:name w:val="样式 首行缩进:  0.74 厘米 行距: 固定值 15.6 磅"/>
    <w:basedOn w:val="1"/>
    <w:qFormat/>
    <w:uiPriority w:val="0"/>
    <w:pPr>
      <w:spacing w:line="360" w:lineRule="auto"/>
      <w:ind w:firstLine="420"/>
    </w:pPr>
    <w:rPr>
      <w:rFonts w:cs="宋体"/>
      <w:sz w:val="24"/>
      <w:szCs w:val="20"/>
    </w:rPr>
  </w:style>
  <w:style w:type="paragraph" w:customStyle="1" w:styleId="211">
    <w:name w:val="样式 首行缩进:  0.74 厘米"/>
    <w:basedOn w:val="1"/>
    <w:qFormat/>
    <w:uiPriority w:val="0"/>
    <w:pPr>
      <w:spacing w:line="360" w:lineRule="auto"/>
      <w:ind w:firstLine="420"/>
    </w:pPr>
    <w:rPr>
      <w:rFonts w:cs="宋体"/>
      <w:szCs w:val="20"/>
    </w:rPr>
  </w:style>
  <w:style w:type="paragraph" w:customStyle="1" w:styleId="212">
    <w:name w:val="样式 (符号) 宋体 黑色 首行缩进:  1.96 字符"/>
    <w:basedOn w:val="1"/>
    <w:qFormat/>
    <w:uiPriority w:val="0"/>
    <w:pPr>
      <w:spacing w:line="360" w:lineRule="auto"/>
      <w:ind w:firstLine="196" w:firstLineChars="196"/>
    </w:pPr>
    <w:rPr>
      <w:rFonts w:hAnsi="宋体" w:cs="宋体"/>
      <w:color w:val="000000"/>
      <w:szCs w:val="20"/>
    </w:rPr>
  </w:style>
  <w:style w:type="character" w:customStyle="1" w:styleId="213">
    <w:name w:val="标题 3 Char"/>
    <w:qFormat/>
    <w:uiPriority w:val="9"/>
    <w:rPr>
      <w:rFonts w:eastAsia="宋体"/>
      <w:b/>
      <w:bCs/>
      <w:kern w:val="2"/>
      <w:sz w:val="32"/>
      <w:szCs w:val="32"/>
      <w:lang w:val="en-US" w:eastAsia="zh-CN" w:bidi="ar-SA"/>
    </w:rPr>
  </w:style>
  <w:style w:type="character" w:customStyle="1" w:styleId="214">
    <w:name w:val="4正文 Char"/>
    <w:qFormat/>
    <w:uiPriority w:val="0"/>
    <w:rPr>
      <w:kern w:val="2"/>
      <w:sz w:val="28"/>
      <w:szCs w:val="24"/>
    </w:rPr>
  </w:style>
  <w:style w:type="character" w:customStyle="1" w:styleId="215">
    <w:name w:val="纯文本 Char"/>
    <w:qFormat/>
    <w:uiPriority w:val="99"/>
    <w:rPr>
      <w:rFonts w:ascii="宋体" w:hAnsi="Courier New"/>
      <w:kern w:val="2"/>
      <w:sz w:val="21"/>
      <w:szCs w:val="21"/>
    </w:rPr>
  </w:style>
  <w:style w:type="character" w:customStyle="1" w:styleId="216">
    <w:name w:val="标题 1 Char"/>
    <w:qFormat/>
    <w:uiPriority w:val="9"/>
    <w:rPr>
      <w:rFonts w:ascii="仿宋_GB2312" w:eastAsia="仿宋_GB2312"/>
      <w:kern w:val="2"/>
      <w:sz w:val="28"/>
    </w:rPr>
  </w:style>
  <w:style w:type="character" w:customStyle="1" w:styleId="217">
    <w:name w:val="标题 2 Char"/>
    <w:qFormat/>
    <w:uiPriority w:val="0"/>
    <w:rPr>
      <w:rFonts w:ascii="楷体_GB2312" w:hAnsi="宋体" w:eastAsia="楷体_GB2312" w:cs="宋体"/>
      <w:b/>
      <w:kern w:val="2"/>
      <w:sz w:val="28"/>
    </w:rPr>
  </w:style>
  <w:style w:type="character" w:customStyle="1" w:styleId="218">
    <w:name w:val="页眉 Char"/>
    <w:qFormat/>
    <w:uiPriority w:val="99"/>
    <w:rPr>
      <w:kern w:val="2"/>
      <w:sz w:val="18"/>
      <w:szCs w:val="18"/>
    </w:rPr>
  </w:style>
  <w:style w:type="character" w:customStyle="1" w:styleId="219">
    <w:name w:val="页脚 Char"/>
    <w:qFormat/>
    <w:uiPriority w:val="99"/>
    <w:rPr>
      <w:kern w:val="2"/>
      <w:sz w:val="18"/>
      <w:szCs w:val="18"/>
    </w:rPr>
  </w:style>
  <w:style w:type="character" w:customStyle="1" w:styleId="220">
    <w:name w:val="批注框文本 Char"/>
    <w:qFormat/>
    <w:uiPriority w:val="0"/>
    <w:rPr>
      <w:kern w:val="2"/>
      <w:sz w:val="18"/>
      <w:szCs w:val="18"/>
    </w:rPr>
  </w:style>
  <w:style w:type="character" w:customStyle="1" w:styleId="221">
    <w:name w:val="批注文字 Char"/>
    <w:qFormat/>
    <w:uiPriority w:val="99"/>
    <w:rPr>
      <w:kern w:val="2"/>
      <w:sz w:val="21"/>
      <w:szCs w:val="24"/>
    </w:rPr>
  </w:style>
  <w:style w:type="character" w:customStyle="1" w:styleId="222">
    <w:name w:val="批注主题 Char"/>
    <w:qFormat/>
    <w:uiPriority w:val="99"/>
    <w:rPr>
      <w:b/>
      <w:bCs/>
      <w:kern w:val="2"/>
      <w:sz w:val="21"/>
      <w:szCs w:val="24"/>
    </w:rPr>
  </w:style>
  <w:style w:type="character" w:customStyle="1" w:styleId="223">
    <w:name w:val="正文文本 Char"/>
    <w:qFormat/>
    <w:uiPriority w:val="0"/>
    <w:rPr>
      <w:kern w:val="2"/>
      <w:sz w:val="21"/>
      <w:szCs w:val="24"/>
    </w:rPr>
  </w:style>
  <w:style w:type="character" w:customStyle="1" w:styleId="224">
    <w:name w:val="正文首行缩进 Char"/>
    <w:qFormat/>
    <w:uiPriority w:val="0"/>
    <w:rPr>
      <w:kern w:val="2"/>
      <w:sz w:val="21"/>
      <w:szCs w:val="24"/>
    </w:rPr>
  </w:style>
  <w:style w:type="character" w:customStyle="1" w:styleId="225">
    <w:name w:val="正文文本缩进 Char"/>
    <w:qFormat/>
    <w:uiPriority w:val="0"/>
    <w:rPr>
      <w:kern w:val="2"/>
      <w:sz w:val="21"/>
      <w:szCs w:val="24"/>
    </w:rPr>
  </w:style>
  <w:style w:type="character" w:customStyle="1" w:styleId="226">
    <w:name w:val="正文首行缩进 2 Char"/>
    <w:qFormat/>
    <w:uiPriority w:val="0"/>
    <w:rPr>
      <w:kern w:val="2"/>
      <w:sz w:val="21"/>
      <w:szCs w:val="24"/>
    </w:rPr>
  </w:style>
  <w:style w:type="character" w:customStyle="1" w:styleId="227">
    <w:name w:val="正文文本缩进 3 Char"/>
    <w:link w:val="71"/>
    <w:qFormat/>
    <w:uiPriority w:val="0"/>
    <w:rPr>
      <w:kern w:val="2"/>
      <w:sz w:val="16"/>
      <w:szCs w:val="16"/>
    </w:rPr>
  </w:style>
  <w:style w:type="character" w:customStyle="1" w:styleId="228">
    <w:name w:val="纯文本 Char1"/>
    <w:link w:val="46"/>
    <w:qFormat/>
    <w:uiPriority w:val="0"/>
    <w:rPr>
      <w:rFonts w:ascii="宋体" w:hAnsi="Courier New"/>
      <w:kern w:val="2"/>
      <w:sz w:val="21"/>
      <w:szCs w:val="21"/>
    </w:rPr>
  </w:style>
  <w:style w:type="character" w:customStyle="1" w:styleId="229">
    <w:name w:val="正文文本缩进 2 Char"/>
    <w:link w:val="52"/>
    <w:qFormat/>
    <w:uiPriority w:val="0"/>
    <w:rPr>
      <w:kern w:val="2"/>
      <w:sz w:val="24"/>
      <w:szCs w:val="24"/>
    </w:rPr>
  </w:style>
  <w:style w:type="character" w:customStyle="1" w:styleId="230">
    <w:name w:val="Outokumpu Normal Char"/>
    <w:link w:val="164"/>
    <w:qFormat/>
    <w:uiPriority w:val="0"/>
    <w:rPr>
      <w:rFonts w:ascii="Arial" w:hAnsi="Arial"/>
      <w:sz w:val="22"/>
      <w:szCs w:val="22"/>
    </w:rPr>
  </w:style>
  <w:style w:type="character" w:customStyle="1" w:styleId="231">
    <w:name w:val="文档结构图 Char"/>
    <w:link w:val="26"/>
    <w:qFormat/>
    <w:uiPriority w:val="99"/>
    <w:rPr>
      <w:kern w:val="2"/>
      <w:sz w:val="21"/>
      <w:shd w:val="clear" w:color="auto" w:fill="000080"/>
    </w:rPr>
  </w:style>
  <w:style w:type="character" w:customStyle="1" w:styleId="232">
    <w:name w:val="日期 Char"/>
    <w:link w:val="51"/>
    <w:qFormat/>
    <w:uiPriority w:val="0"/>
    <w:rPr>
      <w:kern w:val="2"/>
      <w:sz w:val="21"/>
    </w:rPr>
  </w:style>
  <w:style w:type="character" w:customStyle="1" w:styleId="233">
    <w:name w:val="标题 Char"/>
    <w:link w:val="84"/>
    <w:qFormat/>
    <w:uiPriority w:val="0"/>
    <w:rPr>
      <w:rFonts w:ascii="Cambria" w:hAnsi="Cambria"/>
      <w:b/>
      <w:bCs/>
      <w:kern w:val="2"/>
      <w:sz w:val="32"/>
      <w:szCs w:val="32"/>
    </w:rPr>
  </w:style>
  <w:style w:type="character" w:customStyle="1" w:styleId="234">
    <w:name w:val="ft101"/>
    <w:qFormat/>
    <w:uiPriority w:val="0"/>
    <w:rPr>
      <w:rFonts w:hint="default" w:ascii="Times" w:hAnsi="Times" w:cs="Times"/>
      <w:color w:val="000000"/>
      <w:spacing w:val="16"/>
      <w:sz w:val="20"/>
      <w:szCs w:val="20"/>
    </w:rPr>
  </w:style>
  <w:style w:type="character" w:customStyle="1" w:styleId="235">
    <w:name w:val="ft121"/>
    <w:qFormat/>
    <w:uiPriority w:val="0"/>
    <w:rPr>
      <w:rFonts w:hint="default" w:ascii="Times" w:hAnsi="Times" w:cs="Times"/>
      <w:color w:val="000000"/>
      <w:spacing w:val="17"/>
      <w:sz w:val="20"/>
      <w:szCs w:val="20"/>
    </w:rPr>
  </w:style>
  <w:style w:type="character" w:customStyle="1" w:styleId="236">
    <w:name w:val="ft44"/>
    <w:qFormat/>
    <w:uiPriority w:val="0"/>
    <w:rPr>
      <w:rFonts w:hint="default" w:ascii="Times" w:hAnsi="Times" w:cs="Times"/>
      <w:color w:val="000000"/>
      <w:spacing w:val="0"/>
      <w:sz w:val="20"/>
      <w:szCs w:val="20"/>
    </w:rPr>
  </w:style>
  <w:style w:type="character" w:customStyle="1" w:styleId="237">
    <w:name w:val="ft141"/>
    <w:qFormat/>
    <w:uiPriority w:val="0"/>
    <w:rPr>
      <w:rFonts w:hint="default" w:ascii="Times" w:hAnsi="Times" w:cs="Times"/>
      <w:color w:val="000000"/>
      <w:spacing w:val="16"/>
      <w:sz w:val="20"/>
      <w:szCs w:val="20"/>
    </w:rPr>
  </w:style>
  <w:style w:type="character" w:customStyle="1" w:styleId="238">
    <w:name w:val="ca-4"/>
    <w:basedOn w:val="133"/>
    <w:qFormat/>
    <w:uiPriority w:val="0"/>
  </w:style>
  <w:style w:type="character" w:customStyle="1" w:styleId="239">
    <w:name w:val="标题 4 Char"/>
    <w:link w:val="6"/>
    <w:qFormat/>
    <w:uiPriority w:val="0"/>
    <w:rPr>
      <w:rFonts w:ascii="Arial" w:hAnsi="Arial" w:eastAsia="黑体"/>
      <w:b/>
      <w:bCs/>
      <w:kern w:val="2"/>
      <w:sz w:val="28"/>
      <w:szCs w:val="28"/>
    </w:rPr>
  </w:style>
  <w:style w:type="character" w:customStyle="1" w:styleId="240">
    <w:name w:val="标题 5 Char"/>
    <w:link w:val="7"/>
    <w:qFormat/>
    <w:uiPriority w:val="0"/>
    <w:rPr>
      <w:kern w:val="2"/>
      <w:sz w:val="28"/>
      <w:szCs w:val="24"/>
    </w:rPr>
  </w:style>
  <w:style w:type="character" w:customStyle="1" w:styleId="241">
    <w:name w:val="标题 6 Char"/>
    <w:link w:val="8"/>
    <w:qFormat/>
    <w:uiPriority w:val="0"/>
    <w:rPr>
      <w:b/>
      <w:kern w:val="2"/>
      <w:sz w:val="24"/>
      <w:szCs w:val="24"/>
    </w:rPr>
  </w:style>
  <w:style w:type="character" w:customStyle="1" w:styleId="242">
    <w:name w:val="标题 7 Char"/>
    <w:link w:val="9"/>
    <w:qFormat/>
    <w:uiPriority w:val="0"/>
    <w:rPr>
      <w:bCs/>
      <w:kern w:val="2"/>
      <w:sz w:val="24"/>
      <w:szCs w:val="24"/>
    </w:rPr>
  </w:style>
  <w:style w:type="character" w:customStyle="1" w:styleId="243">
    <w:name w:val="标题 8 Char"/>
    <w:link w:val="10"/>
    <w:qFormat/>
    <w:uiPriority w:val="0"/>
    <w:rPr>
      <w:kern w:val="2"/>
      <w:sz w:val="28"/>
      <w:szCs w:val="24"/>
    </w:rPr>
  </w:style>
  <w:style w:type="character" w:customStyle="1" w:styleId="244">
    <w:name w:val="标题 9 Char"/>
    <w:link w:val="11"/>
    <w:qFormat/>
    <w:uiPriority w:val="0"/>
    <w:rPr>
      <w:rFonts w:ascii="Arial" w:hAnsi="Arial" w:eastAsia="黑体"/>
      <w:kern w:val="2"/>
      <w:sz w:val="21"/>
      <w:szCs w:val="21"/>
    </w:rPr>
  </w:style>
  <w:style w:type="character" w:customStyle="1" w:styleId="245">
    <w:name w:val="0 Char"/>
    <w:link w:val="174"/>
    <w:qFormat/>
    <w:uiPriority w:val="0"/>
    <w:rPr>
      <w:sz w:val="21"/>
      <w:szCs w:val="21"/>
    </w:rPr>
  </w:style>
  <w:style w:type="character" w:customStyle="1" w:styleId="246">
    <w:name w:val="副标题 Char"/>
    <w:link w:val="65"/>
    <w:qFormat/>
    <w:uiPriority w:val="0"/>
    <w:rPr>
      <w:rFonts w:ascii="Cambria" w:hAnsi="Cambria"/>
      <w:b/>
      <w:bCs/>
      <w:kern w:val="28"/>
      <w:sz w:val="32"/>
      <w:szCs w:val="32"/>
    </w:rPr>
  </w:style>
  <w:style w:type="character" w:customStyle="1" w:styleId="247">
    <w:name w:val="正文文本 3 Char"/>
    <w:link w:val="31"/>
    <w:qFormat/>
    <w:uiPriority w:val="0"/>
    <w:rPr>
      <w:kern w:val="2"/>
      <w:sz w:val="16"/>
      <w:szCs w:val="16"/>
    </w:rPr>
  </w:style>
  <w:style w:type="character" w:customStyle="1" w:styleId="248">
    <w:name w:val="正文文本 2 Char"/>
    <w:link w:val="35"/>
    <w:qFormat/>
    <w:uiPriority w:val="0"/>
    <w:rPr>
      <w:kern w:val="2"/>
      <w:sz w:val="21"/>
      <w:szCs w:val="24"/>
    </w:rPr>
  </w:style>
  <w:style w:type="character" w:customStyle="1" w:styleId="249">
    <w:name w:val="尾注文本 Char"/>
    <w:link w:val="53"/>
    <w:qFormat/>
    <w:uiPriority w:val="0"/>
    <w:rPr>
      <w:rFonts w:ascii="CG Times" w:hAnsi="CG Times" w:cs="Arial"/>
      <w:sz w:val="24"/>
      <w:szCs w:val="24"/>
      <w:lang w:eastAsia="en-US"/>
    </w:rPr>
  </w:style>
  <w:style w:type="character" w:customStyle="1" w:styleId="250">
    <w:name w:val="djen2"/>
    <w:qFormat/>
    <w:uiPriority w:val="0"/>
    <w:rPr>
      <w:color w:val="3476CD"/>
    </w:rPr>
  </w:style>
  <w:style w:type="character" w:customStyle="1" w:styleId="251">
    <w:name w:val="highlight"/>
    <w:basedOn w:val="133"/>
    <w:qFormat/>
    <w:uiPriority w:val="0"/>
  </w:style>
  <w:style w:type="character" w:customStyle="1" w:styleId="252">
    <w:name w:val="keyword"/>
    <w:basedOn w:val="133"/>
    <w:qFormat/>
    <w:uiPriority w:val="0"/>
  </w:style>
  <w:style w:type="character" w:customStyle="1" w:styleId="253">
    <w:name w:val="def"/>
    <w:basedOn w:val="133"/>
    <w:qFormat/>
    <w:uiPriority w:val="0"/>
  </w:style>
  <w:style w:type="character" w:customStyle="1" w:styleId="254">
    <w:name w:val="正文文本 2 Char1"/>
    <w:qFormat/>
    <w:uiPriority w:val="0"/>
    <w:rPr>
      <w:kern w:val="2"/>
      <w:sz w:val="21"/>
      <w:szCs w:val="24"/>
    </w:rPr>
  </w:style>
  <w:style w:type="character" w:customStyle="1" w:styleId="255">
    <w:name w:val="尾注文本 Char1"/>
    <w:qFormat/>
    <w:uiPriority w:val="0"/>
    <w:rPr>
      <w:kern w:val="2"/>
      <w:sz w:val="21"/>
      <w:szCs w:val="24"/>
    </w:rPr>
  </w:style>
  <w:style w:type="character" w:customStyle="1" w:styleId="256">
    <w:name w:val="正文文本 3 Char1"/>
    <w:qFormat/>
    <w:uiPriority w:val="0"/>
    <w:rPr>
      <w:kern w:val="2"/>
      <w:sz w:val="16"/>
      <w:szCs w:val="16"/>
    </w:rPr>
  </w:style>
  <w:style w:type="character" w:customStyle="1" w:styleId="257">
    <w:name w:val="副标题 Char1"/>
    <w:qFormat/>
    <w:uiPriority w:val="0"/>
    <w:rPr>
      <w:rFonts w:ascii="Cambria" w:hAnsi="Cambria" w:cs="黑体"/>
      <w:b/>
      <w:bCs/>
      <w:kern w:val="28"/>
      <w:sz w:val="32"/>
      <w:szCs w:val="32"/>
    </w:rPr>
  </w:style>
  <w:style w:type="character" w:customStyle="1" w:styleId="258">
    <w:name w:val="无间隔 Char"/>
    <w:link w:val="185"/>
    <w:qFormat/>
    <w:uiPriority w:val="0"/>
    <w:rPr>
      <w:rFonts w:ascii="Calibri" w:hAnsi="Calibri"/>
      <w:sz w:val="22"/>
      <w:szCs w:val="22"/>
      <w:lang w:val="en-US" w:eastAsia="zh-CN" w:bidi="ar-SA"/>
    </w:rPr>
  </w:style>
  <w:style w:type="character" w:customStyle="1" w:styleId="259">
    <w:name w:val="上标e"/>
    <w:qFormat/>
    <w:uiPriority w:val="0"/>
    <w:rPr>
      <w:rFonts w:ascii="宋体" w:hAnsi="宋体" w:eastAsia="宋体"/>
      <w:color w:val="FF00FF"/>
      <w:kern w:val="22"/>
      <w:sz w:val="22"/>
      <w:vertAlign w:val="superscript"/>
    </w:rPr>
  </w:style>
  <w:style w:type="character" w:customStyle="1" w:styleId="260">
    <w:name w:val="No Spacing Char"/>
    <w:link w:val="190"/>
    <w:qFormat/>
    <w:locked/>
    <w:uiPriority w:val="0"/>
    <w:rPr>
      <w:rFonts w:ascii="Calibri" w:hAnsi="Calibri"/>
      <w:sz w:val="22"/>
      <w:lang w:val="en-US" w:eastAsia="zh-CN" w:bidi="ar-SA"/>
    </w:rPr>
  </w:style>
  <w:style w:type="character" w:customStyle="1" w:styleId="261">
    <w:name w:val="jl 正文 Char Char Char"/>
    <w:link w:val="202"/>
    <w:qFormat/>
    <w:uiPriority w:val="0"/>
    <w:rPr>
      <w:rFonts w:ascii="宋体"/>
      <w:kern w:val="2"/>
      <w:sz w:val="24"/>
      <w:szCs w:val="24"/>
    </w:rPr>
  </w:style>
  <w:style w:type="character" w:customStyle="1" w:styleId="262">
    <w:name w:val="jl 三级 Char Char"/>
    <w:link w:val="203"/>
    <w:qFormat/>
    <w:uiPriority w:val="0"/>
    <w:rPr>
      <w:rFonts w:ascii="宋体" w:hAnsi="宋体"/>
      <w:b/>
      <w:color w:val="000000"/>
      <w:kern w:val="2"/>
      <w:sz w:val="24"/>
      <w:szCs w:val="24"/>
    </w:rPr>
  </w:style>
  <w:style w:type="character" w:customStyle="1" w:styleId="263">
    <w:name w:val="HTML 地址 Char"/>
    <w:link w:val="42"/>
    <w:qFormat/>
    <w:uiPriority w:val="0"/>
    <w:rPr>
      <w:i/>
      <w:iCs/>
      <w:kern w:val="2"/>
      <w:sz w:val="21"/>
      <w:szCs w:val="24"/>
    </w:rPr>
  </w:style>
  <w:style w:type="character" w:customStyle="1" w:styleId="264">
    <w:name w:val="HTML 预设格式 Char"/>
    <w:link w:val="80"/>
    <w:qFormat/>
    <w:uiPriority w:val="0"/>
    <w:rPr>
      <w:rFonts w:ascii="Courier New" w:hAnsi="Courier New" w:cs="Courier New"/>
      <w:kern w:val="2"/>
    </w:rPr>
  </w:style>
  <w:style w:type="character" w:customStyle="1" w:styleId="265">
    <w:name w:val="称呼 Char"/>
    <w:link w:val="30"/>
    <w:qFormat/>
    <w:uiPriority w:val="0"/>
    <w:rPr>
      <w:kern w:val="2"/>
      <w:sz w:val="21"/>
      <w:szCs w:val="24"/>
    </w:rPr>
  </w:style>
  <w:style w:type="character" w:customStyle="1" w:styleId="266">
    <w:name w:val="电子邮件签名 Char"/>
    <w:link w:val="19"/>
    <w:qFormat/>
    <w:uiPriority w:val="0"/>
    <w:rPr>
      <w:kern w:val="2"/>
      <w:sz w:val="21"/>
      <w:szCs w:val="24"/>
    </w:rPr>
  </w:style>
  <w:style w:type="character" w:customStyle="1" w:styleId="267">
    <w:name w:val="结束语 Char"/>
    <w:link w:val="32"/>
    <w:qFormat/>
    <w:uiPriority w:val="0"/>
    <w:rPr>
      <w:kern w:val="2"/>
      <w:sz w:val="21"/>
      <w:szCs w:val="24"/>
    </w:rPr>
  </w:style>
  <w:style w:type="character" w:customStyle="1" w:styleId="268">
    <w:name w:val="签名 Char"/>
    <w:link w:val="59"/>
    <w:qFormat/>
    <w:uiPriority w:val="0"/>
    <w:rPr>
      <w:kern w:val="2"/>
      <w:sz w:val="21"/>
      <w:szCs w:val="24"/>
    </w:rPr>
  </w:style>
  <w:style w:type="character" w:customStyle="1" w:styleId="269">
    <w:name w:val="信息标题 Char"/>
    <w:link w:val="79"/>
    <w:qFormat/>
    <w:uiPriority w:val="0"/>
    <w:rPr>
      <w:rFonts w:ascii="Arial" w:hAnsi="Arial" w:cs="Arial"/>
      <w:kern w:val="2"/>
      <w:sz w:val="24"/>
      <w:szCs w:val="24"/>
      <w:shd w:val="pct20" w:color="auto" w:fill="auto"/>
    </w:rPr>
  </w:style>
  <w:style w:type="character" w:customStyle="1" w:styleId="270">
    <w:name w:val="注释标题 Char"/>
    <w:link w:val="16"/>
    <w:qFormat/>
    <w:uiPriority w:val="0"/>
    <w:rPr>
      <w:kern w:val="2"/>
      <w:sz w:val="21"/>
      <w:szCs w:val="24"/>
    </w:rPr>
  </w:style>
  <w:style w:type="character" w:customStyle="1" w:styleId="271">
    <w:name w:val="样式6 Char"/>
    <w:link w:val="205"/>
    <w:qFormat/>
    <w:uiPriority w:val="0"/>
    <w:rPr>
      <w:rFonts w:eastAsia="黑体"/>
      <w:kern w:val="2"/>
      <w:sz w:val="21"/>
      <w:szCs w:val="21"/>
    </w:rPr>
  </w:style>
  <w:style w:type="character" w:customStyle="1" w:styleId="272">
    <w:name w:val="Char Char1"/>
    <w:qFormat/>
    <w:uiPriority w:val="0"/>
    <w:rPr>
      <w:rFonts w:eastAsia="汉仪大宋简"/>
      <w:kern w:val="44"/>
      <w:sz w:val="22"/>
      <w:szCs w:val="22"/>
      <w:lang w:val="en-US" w:eastAsia="zh-CN" w:bidi="ar-SA"/>
    </w:rPr>
  </w:style>
  <w:style w:type="character" w:customStyle="1" w:styleId="273">
    <w:name w:val="标题 3 + 四 段前: 0 磅 段后: 0 磅 行距: 1.5 倍行距 Char"/>
    <w:link w:val="208"/>
    <w:qFormat/>
    <w:uiPriority w:val="0"/>
    <w:rPr>
      <w:rFonts w:cs="宋体"/>
      <w:b/>
      <w:bCs/>
      <w:kern w:val="2"/>
      <w:sz w:val="28"/>
      <w:szCs w:val="28"/>
    </w:rPr>
  </w:style>
  <w:style w:type="character" w:customStyle="1" w:styleId="274">
    <w:name w:val="正文格式 Char"/>
    <w:link w:val="209"/>
    <w:qFormat/>
    <w:uiPriority w:val="0"/>
    <w:rPr>
      <w:rFonts w:ascii="宋体" w:hAnsi="宋体"/>
      <w:bCs/>
      <w:kern w:val="2"/>
      <w:sz w:val="21"/>
      <w:szCs w:val="21"/>
    </w:rPr>
  </w:style>
  <w:style w:type="character" w:customStyle="1" w:styleId="275">
    <w:name w:val="表头 Char"/>
    <w:link w:val="207"/>
    <w:qFormat/>
    <w:uiPriority w:val="0"/>
    <w:rPr>
      <w:rFonts w:eastAsia="黑体"/>
      <w:kern w:val="2"/>
      <w:sz w:val="21"/>
      <w:szCs w:val="21"/>
    </w:rPr>
  </w:style>
  <w:style w:type="character" w:customStyle="1" w:styleId="276">
    <w:name w:val="样式 (符号) 宋体"/>
    <w:qFormat/>
    <w:uiPriority w:val="0"/>
    <w:rPr>
      <w:rFonts w:eastAsia="宋体"/>
      <w:sz w:val="21"/>
    </w:rPr>
  </w:style>
  <w:style w:type="paragraph" w:styleId="277">
    <w:name w:val="No Spacing"/>
    <w:qFormat/>
    <w:uiPriority w:val="0"/>
    <w:rPr>
      <w:rFonts w:ascii="Calibri" w:hAnsi="Calibri" w:eastAsia="宋体" w:cs="Times New Roman"/>
      <w:sz w:val="22"/>
      <w:szCs w:val="22"/>
      <w:lang w:val="en-US" w:eastAsia="zh-CN" w:bidi="ar-SA"/>
    </w:rPr>
  </w:style>
  <w:style w:type="paragraph" w:styleId="278">
    <w:name w:val="List Paragraph"/>
    <w:basedOn w:val="1"/>
    <w:qFormat/>
    <w:uiPriority w:val="99"/>
    <w:pPr>
      <w:widowControl/>
      <w:numPr>
        <w:ilvl w:val="0"/>
        <w:numId w:val="12"/>
      </w:numPr>
      <w:spacing w:line="460" w:lineRule="exact"/>
      <w:jc w:val="left"/>
    </w:pPr>
    <w:rPr>
      <w:rFonts w:ascii="宋体" w:hAnsi="宋体" w:cs="宋体"/>
      <w:b/>
      <w:bCs/>
      <w:color w:val="FF0000"/>
      <w:kern w:val="0"/>
      <w:sz w:val="24"/>
    </w:rPr>
  </w:style>
  <w:style w:type="character" w:customStyle="1" w:styleId="279">
    <w:name w:val="页脚 Char Char"/>
    <w:qFormat/>
    <w:uiPriority w:val="0"/>
    <w:rPr>
      <w:rFonts w:cs="宋体"/>
      <w:kern w:val="2"/>
      <w:sz w:val="18"/>
      <w:szCs w:val="18"/>
    </w:rPr>
  </w:style>
  <w:style w:type="paragraph" w:customStyle="1" w:styleId="280">
    <w:name w:val="样式 普通(网站) + 小四 自动设置 行距: 多倍行距 1.3 字行"/>
    <w:basedOn w:val="81"/>
    <w:qFormat/>
    <w:uiPriority w:val="0"/>
    <w:pPr>
      <w:spacing w:before="0" w:beforeAutospacing="0" w:after="0" w:afterAutospacing="0" w:line="360" w:lineRule="auto"/>
    </w:pPr>
    <w:rPr>
      <w:rFonts w:cs="宋体"/>
      <w:color w:val="auto"/>
      <w:sz w:val="24"/>
      <w:szCs w:val="20"/>
    </w:rPr>
  </w:style>
  <w:style w:type="paragraph" w:customStyle="1" w:styleId="281">
    <w:name w:val="样式 普通(网站) + 行距: 多倍行距 1.3 字行"/>
    <w:basedOn w:val="81"/>
    <w:qFormat/>
    <w:uiPriority w:val="0"/>
    <w:pPr>
      <w:spacing w:before="0" w:beforeAutospacing="0" w:after="0" w:afterAutospacing="0" w:line="360" w:lineRule="auto"/>
    </w:pPr>
    <w:rPr>
      <w:rFonts w:cs="宋体"/>
      <w:szCs w:val="20"/>
    </w:rPr>
  </w:style>
  <w:style w:type="paragraph" w:customStyle="1" w:styleId="282">
    <w:name w:val="TOC 标题2"/>
    <w:basedOn w:val="3"/>
    <w:next w:val="1"/>
    <w:semiHidden/>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283">
    <w:name w:val="_Style 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5">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86">
    <w:name w:val="font8"/>
    <w:basedOn w:val="1"/>
    <w:qFormat/>
    <w:uiPriority w:val="0"/>
    <w:pPr>
      <w:widowControl/>
      <w:spacing w:before="100" w:beforeAutospacing="1" w:after="100" w:afterAutospacing="1"/>
      <w:jc w:val="left"/>
    </w:pPr>
    <w:rPr>
      <w:rFonts w:ascii="Calibri" w:hAnsi="Calibri" w:cs="Calibri"/>
      <w:color w:val="000000"/>
      <w:kern w:val="0"/>
      <w:szCs w:val="21"/>
    </w:rPr>
  </w:style>
  <w:style w:type="paragraph" w:customStyle="1" w:styleId="28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3">
    <w:name w:val="xl80"/>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05">
    <w:name w:val="style81"/>
    <w:qFormat/>
    <w:uiPriority w:val="0"/>
    <w:rPr>
      <w:color w:val="FF6600"/>
    </w:rPr>
  </w:style>
  <w:style w:type="character" w:styleId="306">
    <w:name w:val="Placeholder Text"/>
    <w:qFormat/>
    <w:uiPriority w:val="99"/>
    <w:rPr>
      <w:color w:val="808080"/>
    </w:rPr>
  </w:style>
  <w:style w:type="paragraph" w:customStyle="1" w:styleId="307">
    <w:name w:val="中等深浅网格 1 - 强调文字颜色 21"/>
    <w:basedOn w:val="1"/>
    <w:qFormat/>
    <w:uiPriority w:val="34"/>
    <w:pPr>
      <w:ind w:firstLine="420" w:firstLineChars="200"/>
    </w:pPr>
    <w:rPr>
      <w:szCs w:val="22"/>
    </w:rPr>
  </w:style>
  <w:style w:type="paragraph" w:customStyle="1" w:styleId="308">
    <w:name w:val="彩色底纹 - 强调文字颜色 31"/>
    <w:basedOn w:val="1"/>
    <w:qFormat/>
    <w:uiPriority w:val="0"/>
    <w:pPr>
      <w:ind w:firstLine="420" w:firstLineChars="200"/>
    </w:pPr>
    <w:rPr>
      <w:szCs w:val="22"/>
    </w:rPr>
  </w:style>
  <w:style w:type="character" w:customStyle="1" w:styleId="309">
    <w:name w:val="Anrede1IhrZeichen"/>
    <w:qFormat/>
    <w:uiPriority w:val="0"/>
    <w:rPr>
      <w:rFonts w:ascii="Arial" w:hAnsi="Arial"/>
      <w:sz w:val="22"/>
    </w:rPr>
  </w:style>
  <w:style w:type="character" w:customStyle="1" w:styleId="310">
    <w:name w:val="未处理的提及1"/>
    <w:semiHidden/>
    <w:unhideWhenUsed/>
    <w:qFormat/>
    <w:uiPriority w:val="99"/>
    <w:rPr>
      <w:color w:val="605E5C"/>
      <w:shd w:val="clear" w:color="auto" w:fill="E1DFDD"/>
    </w:rPr>
  </w:style>
  <w:style w:type="character" w:customStyle="1" w:styleId="311">
    <w:name w:val="页脚 Char2"/>
    <w:link w:val="56"/>
    <w:qFormat/>
    <w:uiPriority w:val="99"/>
    <w:rPr>
      <w:kern w:val="2"/>
      <w:sz w:val="18"/>
      <w:szCs w:val="18"/>
    </w:rPr>
  </w:style>
  <w:style w:type="character" w:customStyle="1" w:styleId="312">
    <w:name w:val="页眉 Char1"/>
    <w:link w:val="58"/>
    <w:qFormat/>
    <w:uiPriority w:val="99"/>
    <w:rPr>
      <w:kern w:val="2"/>
      <w:sz w:val="18"/>
      <w:szCs w:val="18"/>
    </w:rPr>
  </w:style>
  <w:style w:type="character" w:customStyle="1" w:styleId="313">
    <w:name w:val="批注框文本 Char1"/>
    <w:link w:val="55"/>
    <w:qFormat/>
    <w:uiPriority w:val="99"/>
    <w:rPr>
      <w:kern w:val="2"/>
      <w:sz w:val="18"/>
      <w:szCs w:val="18"/>
    </w:rPr>
  </w:style>
  <w:style w:type="character" w:customStyle="1" w:styleId="314">
    <w:name w:val="批注文字 Char1"/>
    <w:link w:val="28"/>
    <w:qFormat/>
    <w:uiPriority w:val="99"/>
    <w:rPr>
      <w:kern w:val="2"/>
      <w:sz w:val="21"/>
      <w:szCs w:val="24"/>
    </w:rPr>
  </w:style>
  <w:style w:type="character" w:customStyle="1" w:styleId="315">
    <w:name w:val="批注主题 Char1"/>
    <w:link w:val="85"/>
    <w:qFormat/>
    <w:uiPriority w:val="99"/>
    <w:rPr>
      <w:b/>
      <w:bCs/>
      <w:kern w:val="2"/>
      <w:sz w:val="21"/>
      <w:szCs w:val="24"/>
    </w:rPr>
  </w:style>
  <w:style w:type="character" w:customStyle="1" w:styleId="316">
    <w:name w:val="页脚 Char1"/>
    <w:qFormat/>
    <w:uiPriority w:val="99"/>
    <w:rPr>
      <w:rFonts w:ascii="Times New Roman" w:hAnsi="Times New Roman" w:eastAsia="宋体" w:cs="Times New Roman"/>
      <w:sz w:val="18"/>
      <w:szCs w:val="18"/>
      <w:lang w:val="zh-CN" w:eastAsia="zh-CN"/>
    </w:rPr>
  </w:style>
  <w:style w:type="character" w:customStyle="1" w:styleId="317">
    <w:name w:val="标题 7 字符"/>
    <w:qFormat/>
    <w:uiPriority w:val="0"/>
    <w:rPr>
      <w:bCs/>
      <w:kern w:val="2"/>
      <w:sz w:val="24"/>
      <w:szCs w:val="24"/>
    </w:rPr>
  </w:style>
  <w:style w:type="character" w:customStyle="1" w:styleId="318">
    <w:name w:val="信息标题 字符"/>
    <w:qFormat/>
    <w:uiPriority w:val="0"/>
    <w:rPr>
      <w:rFonts w:ascii="Arial" w:hAnsi="Arial" w:cs="Arial"/>
      <w:kern w:val="2"/>
      <w:sz w:val="24"/>
      <w:szCs w:val="24"/>
      <w:shd w:val="pct20" w:color="auto" w:fill="auto"/>
    </w:rPr>
  </w:style>
  <w:style w:type="character" w:customStyle="1" w:styleId="319">
    <w:name w:val="标题 字符"/>
    <w:qFormat/>
    <w:uiPriority w:val="0"/>
    <w:rPr>
      <w:rFonts w:ascii="Cambria" w:hAnsi="Cambria"/>
      <w:b/>
      <w:bCs/>
      <w:kern w:val="2"/>
      <w:sz w:val="32"/>
      <w:szCs w:val="32"/>
    </w:rPr>
  </w:style>
  <w:style w:type="character" w:customStyle="1" w:styleId="320">
    <w:name w:val="尾注文本 字符"/>
    <w:qFormat/>
    <w:uiPriority w:val="0"/>
    <w:rPr>
      <w:rFonts w:ascii="CG Times" w:hAnsi="CG Times" w:cs="Arial"/>
      <w:sz w:val="24"/>
      <w:szCs w:val="24"/>
      <w:lang w:eastAsia="en-US"/>
    </w:rPr>
  </w:style>
  <w:style w:type="character" w:customStyle="1" w:styleId="321">
    <w:name w:val="标题 5 字符"/>
    <w:qFormat/>
    <w:uiPriority w:val="0"/>
    <w:rPr>
      <w:kern w:val="2"/>
      <w:sz w:val="28"/>
      <w:szCs w:val="24"/>
    </w:rPr>
  </w:style>
  <w:style w:type="character" w:customStyle="1" w:styleId="322">
    <w:name w:val="HTML 地址 字符"/>
    <w:qFormat/>
    <w:uiPriority w:val="0"/>
    <w:rPr>
      <w:i/>
      <w:iCs/>
      <w:kern w:val="2"/>
      <w:sz w:val="21"/>
      <w:szCs w:val="24"/>
    </w:rPr>
  </w:style>
  <w:style w:type="character" w:customStyle="1" w:styleId="323">
    <w:name w:val="标题 4 字符"/>
    <w:qFormat/>
    <w:uiPriority w:val="0"/>
    <w:rPr>
      <w:rFonts w:ascii="Arial" w:hAnsi="Arial" w:eastAsia="黑体"/>
      <w:b/>
      <w:bCs/>
      <w:kern w:val="2"/>
      <w:sz w:val="28"/>
      <w:szCs w:val="28"/>
    </w:rPr>
  </w:style>
  <w:style w:type="character" w:customStyle="1" w:styleId="324">
    <w:name w:val="正文文本 3 字符"/>
    <w:qFormat/>
    <w:uiPriority w:val="0"/>
    <w:rPr>
      <w:kern w:val="2"/>
      <w:sz w:val="16"/>
      <w:szCs w:val="16"/>
    </w:rPr>
  </w:style>
  <w:style w:type="character" w:customStyle="1" w:styleId="325">
    <w:name w:val="电子邮件签名 字符"/>
    <w:qFormat/>
    <w:uiPriority w:val="0"/>
    <w:rPr>
      <w:kern w:val="2"/>
      <w:sz w:val="21"/>
      <w:szCs w:val="24"/>
    </w:rPr>
  </w:style>
  <w:style w:type="character" w:customStyle="1" w:styleId="326">
    <w:name w:val="副标题 字符"/>
    <w:qFormat/>
    <w:uiPriority w:val="0"/>
    <w:rPr>
      <w:rFonts w:ascii="Cambria" w:hAnsi="Cambria"/>
      <w:b/>
      <w:bCs/>
      <w:kern w:val="28"/>
      <w:sz w:val="32"/>
      <w:szCs w:val="32"/>
    </w:rPr>
  </w:style>
  <w:style w:type="character" w:customStyle="1" w:styleId="327">
    <w:name w:val="HTML 预设格式 字符"/>
    <w:qFormat/>
    <w:uiPriority w:val="0"/>
    <w:rPr>
      <w:rFonts w:ascii="Courier New" w:hAnsi="Courier New" w:cs="Courier New"/>
      <w:kern w:val="2"/>
    </w:rPr>
  </w:style>
  <w:style w:type="character" w:customStyle="1" w:styleId="328">
    <w:name w:val="标题 6 字符"/>
    <w:qFormat/>
    <w:uiPriority w:val="0"/>
    <w:rPr>
      <w:b/>
      <w:kern w:val="2"/>
      <w:sz w:val="24"/>
      <w:szCs w:val="24"/>
    </w:rPr>
  </w:style>
  <w:style w:type="character" w:customStyle="1" w:styleId="329">
    <w:name w:val="正文文本 2 字符"/>
    <w:qFormat/>
    <w:uiPriority w:val="0"/>
    <w:rPr>
      <w:kern w:val="2"/>
      <w:sz w:val="21"/>
      <w:szCs w:val="24"/>
    </w:rPr>
  </w:style>
  <w:style w:type="character" w:customStyle="1" w:styleId="330">
    <w:name w:val="标题 8 字符"/>
    <w:qFormat/>
    <w:uiPriority w:val="0"/>
    <w:rPr>
      <w:kern w:val="2"/>
      <w:sz w:val="28"/>
      <w:szCs w:val="24"/>
    </w:rPr>
  </w:style>
  <w:style w:type="character" w:customStyle="1" w:styleId="331">
    <w:name w:val="签名 字符"/>
    <w:qFormat/>
    <w:uiPriority w:val="0"/>
    <w:rPr>
      <w:kern w:val="2"/>
      <w:sz w:val="21"/>
      <w:szCs w:val="24"/>
    </w:rPr>
  </w:style>
  <w:style w:type="character" w:customStyle="1" w:styleId="332">
    <w:name w:val="注释标题 字符"/>
    <w:qFormat/>
    <w:uiPriority w:val="0"/>
    <w:rPr>
      <w:kern w:val="2"/>
      <w:sz w:val="21"/>
      <w:szCs w:val="24"/>
    </w:rPr>
  </w:style>
  <w:style w:type="character" w:customStyle="1" w:styleId="333">
    <w:name w:val="纯文本 字符1"/>
    <w:qFormat/>
    <w:uiPriority w:val="0"/>
    <w:rPr>
      <w:rFonts w:ascii="宋体" w:hAnsi="Courier New"/>
      <w:kern w:val="2"/>
      <w:sz w:val="21"/>
      <w:szCs w:val="21"/>
    </w:rPr>
  </w:style>
  <w:style w:type="character" w:customStyle="1" w:styleId="334">
    <w:name w:val="正文文本缩进 2 字符"/>
    <w:qFormat/>
    <w:uiPriority w:val="99"/>
    <w:rPr>
      <w:kern w:val="2"/>
      <w:sz w:val="24"/>
      <w:szCs w:val="24"/>
    </w:rPr>
  </w:style>
  <w:style w:type="character" w:customStyle="1" w:styleId="335">
    <w:name w:val="文档结构图 字符"/>
    <w:qFormat/>
    <w:uiPriority w:val="0"/>
    <w:rPr>
      <w:kern w:val="2"/>
      <w:sz w:val="21"/>
      <w:shd w:val="clear" w:color="auto" w:fill="000080"/>
    </w:rPr>
  </w:style>
  <w:style w:type="character" w:customStyle="1" w:styleId="336">
    <w:name w:val="日期 字符"/>
    <w:qFormat/>
    <w:uiPriority w:val="0"/>
    <w:rPr>
      <w:kern w:val="2"/>
      <w:sz w:val="21"/>
    </w:rPr>
  </w:style>
  <w:style w:type="character" w:customStyle="1" w:styleId="337">
    <w:name w:val="结束语 字符"/>
    <w:qFormat/>
    <w:uiPriority w:val="0"/>
    <w:rPr>
      <w:kern w:val="2"/>
      <w:sz w:val="21"/>
      <w:szCs w:val="24"/>
    </w:rPr>
  </w:style>
  <w:style w:type="character" w:customStyle="1" w:styleId="338">
    <w:name w:val="正文文本缩进 3 字符"/>
    <w:qFormat/>
    <w:uiPriority w:val="0"/>
    <w:rPr>
      <w:kern w:val="2"/>
      <w:sz w:val="16"/>
      <w:szCs w:val="16"/>
    </w:rPr>
  </w:style>
  <w:style w:type="character" w:customStyle="1" w:styleId="339">
    <w:name w:val="标题 9 字符"/>
    <w:qFormat/>
    <w:uiPriority w:val="0"/>
    <w:rPr>
      <w:rFonts w:ascii="Arial" w:hAnsi="Arial" w:eastAsia="黑体"/>
      <w:kern w:val="2"/>
      <w:sz w:val="21"/>
      <w:szCs w:val="21"/>
    </w:rPr>
  </w:style>
  <w:style w:type="character" w:customStyle="1" w:styleId="340">
    <w:name w:val="纯文本 字符"/>
    <w:qFormat/>
    <w:uiPriority w:val="0"/>
    <w:rPr>
      <w:rFonts w:ascii="宋体" w:hAnsi="Courier New"/>
      <w:kern w:val="2"/>
      <w:sz w:val="21"/>
    </w:rPr>
  </w:style>
  <w:style w:type="character" w:customStyle="1" w:styleId="341">
    <w:name w:val="称呼 字符"/>
    <w:qFormat/>
    <w:uiPriority w:val="0"/>
    <w:rPr>
      <w:kern w:val="2"/>
      <w:sz w:val="21"/>
      <w:szCs w:val="24"/>
    </w:rPr>
  </w:style>
  <w:style w:type="paragraph" w:customStyle="1" w:styleId="342">
    <w:name w:val="列出段落11"/>
    <w:basedOn w:val="1"/>
    <w:qFormat/>
    <w:uiPriority w:val="34"/>
    <w:pPr>
      <w:ind w:firstLine="420" w:firstLineChars="200"/>
    </w:pPr>
    <w:rPr>
      <w:rFonts w:ascii="Calibri" w:hAnsi="Calibri"/>
      <w:szCs w:val="22"/>
    </w:rPr>
  </w:style>
  <w:style w:type="paragraph" w:customStyle="1" w:styleId="343">
    <w:name w:val="无间隔11"/>
    <w:qFormat/>
    <w:uiPriority w:val="1"/>
    <w:rPr>
      <w:rFonts w:ascii="Calibri" w:hAnsi="Calibri" w:eastAsia="宋体" w:cs="Times New Roman"/>
      <w:sz w:val="22"/>
      <w:lang w:val="en-US" w:eastAsia="zh-CN" w:bidi="ar-SA"/>
    </w:rPr>
  </w:style>
  <w:style w:type="character" w:customStyle="1" w:styleId="344">
    <w:name w:val="批注框文本 字符1"/>
    <w:semiHidden/>
    <w:qFormat/>
    <w:uiPriority w:val="99"/>
    <w:rPr>
      <w:sz w:val="18"/>
      <w:szCs w:val="18"/>
    </w:rPr>
  </w:style>
  <w:style w:type="character" w:customStyle="1" w:styleId="345">
    <w:name w:val="批注主题 字符1"/>
    <w:semiHidden/>
    <w:qFormat/>
    <w:uiPriority w:val="99"/>
    <w:rPr>
      <w:rFonts w:ascii="Calibri" w:hAnsi="Calibri" w:eastAsia="宋体" w:cs="Times New Roman"/>
      <w:b/>
      <w:bCs/>
      <w:kern w:val="2"/>
      <w:sz w:val="21"/>
      <w:szCs w:val="24"/>
    </w:rPr>
  </w:style>
  <w:style w:type="character" w:customStyle="1" w:styleId="346">
    <w:name w:val="未处理的提及2"/>
    <w:basedOn w:val="133"/>
    <w:semiHidden/>
    <w:unhideWhenUsed/>
    <w:qFormat/>
    <w:uiPriority w:val="99"/>
    <w:rPr>
      <w:color w:val="605E5C"/>
      <w:shd w:val="clear" w:color="auto" w:fill="E1DFDD"/>
    </w:rPr>
  </w:style>
  <w:style w:type="paragraph" w:customStyle="1" w:styleId="3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51">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352">
    <w:name w:val="宏文本 Char"/>
    <w:basedOn w:val="133"/>
    <w:link w:val="2"/>
    <w:qFormat/>
    <w:uiPriority w:val="0"/>
    <w:rPr>
      <w:rFonts w:ascii="Courier New" w:hAnsi="Courier New" w:cs="Courier New"/>
      <w:lang w:val="en-GB" w:eastAsia="en-US"/>
    </w:rPr>
  </w:style>
  <w:style w:type="character" w:customStyle="1" w:styleId="353">
    <w:name w:val="正文文本缩进 Char1"/>
    <w:link w:val="36"/>
    <w:qFormat/>
    <w:uiPriority w:val="99"/>
    <w:rPr>
      <w:kern w:val="2"/>
      <w:sz w:val="21"/>
      <w:szCs w:val="24"/>
    </w:rPr>
  </w:style>
  <w:style w:type="character" w:customStyle="1" w:styleId="354">
    <w:name w:val="页眉 Char2"/>
    <w:qFormat/>
    <w:uiPriority w:val="99"/>
    <w:rPr>
      <w:kern w:val="2"/>
      <w:sz w:val="18"/>
      <w:szCs w:val="18"/>
    </w:rPr>
  </w:style>
  <w:style w:type="character" w:customStyle="1" w:styleId="355">
    <w:name w:val="脚注文本 Char"/>
    <w:basedOn w:val="133"/>
    <w:link w:val="68"/>
    <w:qFormat/>
    <w:uiPriority w:val="0"/>
    <w:rPr>
      <w:rFonts w:ascii="Tahoma" w:hAnsi="Tahoma"/>
      <w:lang w:eastAsia="en-US"/>
    </w:rPr>
  </w:style>
  <w:style w:type="paragraph" w:customStyle="1" w:styleId="356">
    <w:name w:val="TOC 标题3"/>
    <w:basedOn w:val="3"/>
    <w:next w:val="1"/>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character" w:customStyle="1" w:styleId="357">
    <w:name w:val="未处理的提及3"/>
    <w:unhideWhenUsed/>
    <w:qFormat/>
    <w:uiPriority w:val="99"/>
    <w:rPr>
      <w:color w:val="605E5C"/>
      <w:shd w:val="clear" w:color="auto" w:fill="E1DFDD"/>
    </w:rPr>
  </w:style>
  <w:style w:type="paragraph" w:customStyle="1" w:styleId="358">
    <w:name w:val="_Style 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284"/>
    <w:basedOn w:val="1"/>
    <w:next w:val="278"/>
    <w:qFormat/>
    <w:uiPriority w:val="34"/>
    <w:pPr>
      <w:ind w:firstLine="420" w:firstLineChars="200"/>
    </w:pPr>
  </w:style>
  <w:style w:type="character" w:customStyle="1" w:styleId="360">
    <w:name w:val="文档结构图 Char1"/>
    <w:qFormat/>
    <w:uiPriority w:val="0"/>
    <w:rPr>
      <w:rFonts w:ascii="宋体" w:hAnsi="Times New Roman" w:eastAsia="宋体" w:cs="Times New Roman"/>
      <w:kern w:val="2"/>
      <w:sz w:val="18"/>
      <w:szCs w:val="18"/>
    </w:rPr>
  </w:style>
  <w:style w:type="character" w:customStyle="1" w:styleId="361">
    <w:name w:val="15"/>
    <w:qFormat/>
    <w:uiPriority w:val="0"/>
    <w:rPr>
      <w:rFonts w:hint="default" w:ascii="Times New Roman" w:hAnsi="Times New Roman" w:eastAsia="宋体" w:cs="Times New Roman"/>
    </w:rPr>
  </w:style>
  <w:style w:type="character" w:customStyle="1" w:styleId="362">
    <w:name w:val="2b Char"/>
    <w:link w:val="363"/>
    <w:qFormat/>
    <w:uiPriority w:val="0"/>
    <w:rPr>
      <w:rFonts w:ascii="EU-F1" w:eastAsia="黑体"/>
      <w:color w:val="000000"/>
      <w:kern w:val="21"/>
      <w:sz w:val="21"/>
      <w:szCs w:val="21"/>
    </w:rPr>
  </w:style>
  <w:style w:type="paragraph" w:customStyle="1" w:styleId="363">
    <w:name w:val="2b"/>
    <w:basedOn w:val="196"/>
    <w:link w:val="362"/>
    <w:qFormat/>
    <w:uiPriority w:val="0"/>
    <w:pPr>
      <w:keepNext w:val="0"/>
      <w:keepLines w:val="0"/>
      <w:widowControl/>
      <w:tabs>
        <w:tab w:val="clear" w:pos="567"/>
        <w:tab w:val="clear" w:pos="850"/>
      </w:tabs>
      <w:spacing w:line="312" w:lineRule="exact"/>
      <w:ind w:firstLine="0"/>
      <w:outlineLvl w:val="9"/>
    </w:pPr>
    <w:rPr>
      <w:rFonts w:ascii="EU-F1"/>
      <w:b w:val="0"/>
      <w:color w:val="000000"/>
      <w:kern w:val="21"/>
      <w:sz w:val="21"/>
      <w:szCs w:val="21"/>
    </w:rPr>
  </w:style>
  <w:style w:type="character" w:customStyle="1" w:styleId="364">
    <w:name w:val="Char Char11"/>
    <w:qFormat/>
    <w:uiPriority w:val="0"/>
    <w:rPr>
      <w:rFonts w:ascii="Times New Roman" w:hAnsi="Times New Roman" w:eastAsia="汉仪大宋简" w:cs="Times New Roman"/>
      <w:kern w:val="44"/>
      <w:sz w:val="22"/>
      <w:szCs w:val="22"/>
      <w:lang w:val="en-US" w:eastAsia="zh-CN" w:bidi="ar-SA"/>
    </w:rPr>
  </w:style>
  <w:style w:type="character" w:customStyle="1" w:styleId="365">
    <w:name w:val="正文文本缩进 2 Char1"/>
    <w:qFormat/>
    <w:uiPriority w:val="0"/>
    <w:rPr>
      <w:rFonts w:ascii="Calibri" w:hAnsi="Calibri" w:eastAsia="宋体" w:cs="Arial"/>
    </w:rPr>
  </w:style>
  <w:style w:type="character" w:customStyle="1" w:styleId="366">
    <w:name w:val="标题 Char1"/>
    <w:qFormat/>
    <w:uiPriority w:val="0"/>
    <w:rPr>
      <w:rFonts w:ascii="Cambria" w:hAnsi="Cambria" w:eastAsia="宋体" w:cs="Times New Roman"/>
      <w:b/>
      <w:bCs/>
      <w:sz w:val="32"/>
      <w:szCs w:val="32"/>
    </w:rPr>
  </w:style>
  <w:style w:type="character" w:customStyle="1" w:styleId="367">
    <w:name w:val="脚注文本 Char1"/>
    <w:qFormat/>
    <w:uiPriority w:val="0"/>
    <w:rPr>
      <w:kern w:val="2"/>
      <w:sz w:val="18"/>
      <w:szCs w:val="18"/>
    </w:rPr>
  </w:style>
  <w:style w:type="character" w:customStyle="1" w:styleId="368">
    <w:name w:val="Char Char12"/>
    <w:qFormat/>
    <w:uiPriority w:val="0"/>
    <w:rPr>
      <w:rFonts w:ascii="Times New Roman" w:hAnsi="Times New Roman" w:eastAsia="汉仪大宋简" w:cs="Times New Roman"/>
      <w:kern w:val="44"/>
      <w:sz w:val="22"/>
      <w:szCs w:val="22"/>
      <w:lang w:val="en-US" w:eastAsia="zh-CN" w:bidi="ar-SA"/>
    </w:rPr>
  </w:style>
  <w:style w:type="character" w:customStyle="1" w:styleId="369">
    <w:name w:val="样式 3 Char"/>
    <w:link w:val="370"/>
    <w:qFormat/>
    <w:uiPriority w:val="0"/>
    <w:rPr>
      <w:kern w:val="21"/>
      <w:sz w:val="21"/>
      <w:szCs w:val="21"/>
    </w:rPr>
  </w:style>
  <w:style w:type="paragraph" w:customStyle="1" w:styleId="370">
    <w:name w:val="样式 3"/>
    <w:basedOn w:val="1"/>
    <w:link w:val="369"/>
    <w:qFormat/>
    <w:uiPriority w:val="0"/>
    <w:pPr>
      <w:topLinePunct/>
      <w:ind w:left="840" w:hanging="420"/>
    </w:pPr>
    <w:rPr>
      <w:kern w:val="21"/>
      <w:szCs w:val="21"/>
    </w:rPr>
  </w:style>
  <w:style w:type="character" w:customStyle="1" w:styleId="371">
    <w:name w:val="日期 Char1"/>
    <w:qFormat/>
    <w:uiPriority w:val="0"/>
    <w:rPr>
      <w:rFonts w:ascii="Calibri" w:hAnsi="Calibri" w:eastAsia="宋体" w:cs="Arial"/>
    </w:rPr>
  </w:style>
  <w:style w:type="character" w:customStyle="1" w:styleId="372">
    <w:name w:val="样式 2 Char"/>
    <w:link w:val="373"/>
    <w:qFormat/>
    <w:uiPriority w:val="0"/>
    <w:rPr>
      <w:rFonts w:ascii="EU-F1" w:eastAsia="黑体"/>
      <w:bCs/>
      <w:kern w:val="2"/>
      <w:sz w:val="21"/>
      <w:szCs w:val="21"/>
    </w:rPr>
  </w:style>
  <w:style w:type="paragraph" w:customStyle="1" w:styleId="373">
    <w:name w:val="样式 2"/>
    <w:basedOn w:val="4"/>
    <w:link w:val="372"/>
    <w:qFormat/>
    <w:uiPriority w:val="0"/>
    <w:pPr>
      <w:keepNext w:val="0"/>
      <w:numPr>
        <w:numId w:val="0"/>
      </w:numPr>
      <w:tabs>
        <w:tab w:val="clear" w:pos="1050"/>
      </w:tabs>
      <w:topLinePunct/>
      <w:spacing w:line="312" w:lineRule="exact"/>
    </w:pPr>
    <w:rPr>
      <w:rFonts w:ascii="EU-F1" w:hAnsi="Times New Roman" w:eastAsia="黑体" w:cs="Times New Roman"/>
      <w:b w:val="0"/>
      <w:bCs/>
      <w:sz w:val="21"/>
      <w:szCs w:val="21"/>
    </w:rPr>
  </w:style>
  <w:style w:type="character" w:customStyle="1" w:styleId="374">
    <w:name w:val="宏文本 Char1"/>
    <w:qFormat/>
    <w:uiPriority w:val="0"/>
    <w:rPr>
      <w:rFonts w:ascii="Courier New" w:hAnsi="Courier New" w:cs="Courier New"/>
      <w:kern w:val="2"/>
      <w:sz w:val="24"/>
      <w:szCs w:val="24"/>
    </w:rPr>
  </w:style>
  <w:style w:type="paragraph" w:customStyle="1" w:styleId="375">
    <w:name w:val="不缩进"/>
    <w:basedOn w:val="1"/>
    <w:qFormat/>
    <w:uiPriority w:val="0"/>
    <w:pPr>
      <w:jc w:val="center"/>
    </w:pPr>
    <w:rPr>
      <w:sz w:val="24"/>
      <w:szCs w:val="20"/>
    </w:rPr>
  </w:style>
  <w:style w:type="paragraph" w:customStyle="1" w:styleId="376">
    <w:name w:val="xl92"/>
    <w:basedOn w:val="1"/>
    <w:qFormat/>
    <w:uiPriority w:val="0"/>
    <w:pPr>
      <w:widowControl/>
      <w:pBdr>
        <w:top w:val="single" w:color="auto" w:sz="8" w:space="0"/>
        <w:left w:val="single" w:color="auto" w:sz="8"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7">
    <w:name w:val="Char Char Char Char Char Char Char2"/>
    <w:basedOn w:val="1"/>
    <w:qFormat/>
    <w:uiPriority w:val="0"/>
    <w:rPr>
      <w:rFonts w:ascii="Arial" w:hAnsi="Arial"/>
      <w:spacing w:val="-5"/>
      <w:kern w:val="0"/>
      <w:sz w:val="20"/>
      <w:szCs w:val="20"/>
      <w:lang w:bidi="he-IL"/>
    </w:rPr>
  </w:style>
  <w:style w:type="paragraph" w:customStyle="1" w:styleId="37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80">
    <w:name w:val="壹 1."/>
    <w:basedOn w:val="1"/>
    <w:qFormat/>
    <w:uiPriority w:val="0"/>
    <w:pPr>
      <w:adjustRightInd w:val="0"/>
      <w:spacing w:line="360" w:lineRule="exact"/>
      <w:ind w:left="1200" w:hanging="600"/>
      <w:textAlignment w:val="baseline"/>
    </w:pPr>
    <w:rPr>
      <w:rFonts w:ascii="華康楷書體W5(P)" w:eastAsia="華康楷書體W5(P)"/>
      <w:kern w:val="0"/>
      <w:sz w:val="24"/>
      <w:szCs w:val="20"/>
      <w:lang w:eastAsia="zh-TW"/>
    </w:rPr>
  </w:style>
  <w:style w:type="paragraph" w:customStyle="1" w:styleId="381">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385">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386">
    <w:name w:val="列出段落2"/>
    <w:basedOn w:val="1"/>
    <w:qFormat/>
    <w:uiPriority w:val="0"/>
    <w:pPr>
      <w:ind w:firstLine="420" w:firstLineChars="200"/>
    </w:pPr>
    <w:rPr>
      <w:szCs w:val="22"/>
    </w:rPr>
  </w:style>
  <w:style w:type="paragraph" w:customStyle="1" w:styleId="387">
    <w:name w:val="Sub item level 1"/>
    <w:basedOn w:val="1"/>
    <w:next w:val="1"/>
    <w:qFormat/>
    <w:uiPriority w:val="0"/>
    <w:pPr>
      <w:widowControl/>
      <w:spacing w:before="100" w:beforeAutospacing="1" w:after="100" w:afterAutospacing="1"/>
      <w:ind w:left="1588" w:right="142" w:hanging="454"/>
      <w:jc w:val="left"/>
    </w:pPr>
    <w:rPr>
      <w:rFonts w:ascii="Tahoma" w:hAnsi="Tahoma"/>
      <w:kern w:val="0"/>
      <w:sz w:val="20"/>
      <w:szCs w:val="20"/>
      <w:lang w:eastAsia="en-US"/>
    </w:rPr>
  </w:style>
  <w:style w:type="paragraph" w:customStyle="1" w:styleId="3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89">
    <w:name w:val="_Style 47"/>
    <w:qFormat/>
    <w:uiPriority w:val="0"/>
    <w:rPr>
      <w:rFonts w:ascii="Calibri" w:hAnsi="Calibri" w:eastAsia="宋体" w:cs="Arial"/>
      <w:lang w:val="en-US" w:eastAsia="zh-CN" w:bidi="ar-SA"/>
    </w:rPr>
  </w:style>
  <w:style w:type="paragraph" w:customStyle="1" w:styleId="390">
    <w:name w:val="xl103"/>
    <w:basedOn w:val="1"/>
    <w:qFormat/>
    <w:uiPriority w:val="0"/>
    <w:pPr>
      <w:widowControl/>
      <w:pBdr>
        <w:top w:val="single" w:color="auto" w:sz="8" w:space="0"/>
        <w:bottom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1">
    <w:name w:val="TOC"/>
    <w:basedOn w:val="1"/>
    <w:next w:val="1"/>
    <w:qFormat/>
    <w:uiPriority w:val="0"/>
    <w:pPr>
      <w:pageBreakBefore/>
      <w:widowControl/>
      <w:spacing w:before="100" w:beforeAutospacing="1" w:after="100" w:afterAutospacing="1"/>
      <w:ind w:right="142"/>
      <w:jc w:val="left"/>
    </w:pPr>
    <w:rPr>
      <w:rFonts w:ascii="Tahoma" w:hAnsi="Tahoma"/>
      <w:b/>
      <w:kern w:val="0"/>
      <w:sz w:val="24"/>
      <w:szCs w:val="20"/>
      <w:lang w:eastAsia="en-US"/>
    </w:rPr>
  </w:style>
  <w:style w:type="paragraph" w:customStyle="1" w:styleId="392">
    <w:name w:val="xl94"/>
    <w:basedOn w:val="1"/>
    <w:qFormat/>
    <w:uiPriority w:val="0"/>
    <w:pPr>
      <w:widowControl/>
      <w:pBdr>
        <w:top w:val="single" w:color="auto" w:sz="8"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3">
    <w:name w:val="修订6"/>
    <w:qFormat/>
    <w:uiPriority w:val="99"/>
    <w:rPr>
      <w:rFonts w:ascii="Calibri" w:hAnsi="Calibri" w:eastAsia="宋体" w:cs="Arial"/>
      <w:lang w:val="en-US" w:eastAsia="zh-CN" w:bidi="ar-SA"/>
    </w:rPr>
  </w:style>
  <w:style w:type="paragraph" w:customStyle="1" w:styleId="394">
    <w:name w:val="Techspec list bullet"/>
    <w:basedOn w:val="24"/>
    <w:qFormat/>
    <w:uiPriority w:val="0"/>
    <w:pPr>
      <w:widowControl/>
      <w:numPr>
        <w:ilvl w:val="0"/>
        <w:numId w:val="13"/>
      </w:numPr>
      <w:tabs>
        <w:tab w:val="left" w:pos="1985"/>
      </w:tabs>
      <w:ind w:left="1985" w:hanging="567"/>
      <w:jc w:val="left"/>
    </w:pPr>
    <w:rPr>
      <w:rFonts w:ascii="Tahoma" w:hAnsi="Tahoma"/>
      <w:kern w:val="0"/>
      <w:sz w:val="20"/>
      <w:lang w:eastAsia="en-US"/>
    </w:rPr>
  </w:style>
  <w:style w:type="paragraph" w:customStyle="1" w:styleId="39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6">
    <w:name w:val="样式 标题 1 + 非加粗"/>
    <w:basedOn w:val="3"/>
    <w:qFormat/>
    <w:uiPriority w:val="0"/>
    <w:pPr>
      <w:keepLines/>
      <w:tabs>
        <w:tab w:val="clear" w:pos="420"/>
        <w:tab w:val="clear" w:pos="1050"/>
      </w:tabs>
      <w:topLinePunct/>
      <w:spacing w:line="480" w:lineRule="auto"/>
      <w:ind w:firstLine="420"/>
      <w:jc w:val="center"/>
      <w:textAlignment w:val="baseline"/>
    </w:pPr>
    <w:rPr>
      <w:rFonts w:ascii="Times New Roman" w:eastAsia="宋体"/>
      <w:b/>
      <w:kern w:val="44"/>
      <w:sz w:val="32"/>
      <w:szCs w:val="22"/>
    </w:rPr>
  </w:style>
  <w:style w:type="paragraph" w:customStyle="1" w:styleId="397">
    <w:name w:val="Char Char Char1 Char1"/>
    <w:basedOn w:val="1"/>
    <w:qFormat/>
    <w:uiPriority w:val="0"/>
  </w:style>
  <w:style w:type="paragraph" w:customStyle="1" w:styleId="398">
    <w:name w:val="xl93"/>
    <w:basedOn w:val="1"/>
    <w:qFormat/>
    <w:uiPriority w:val="0"/>
    <w:pPr>
      <w:widowControl/>
      <w:pBdr>
        <w:top w:val="single" w:color="auto" w:sz="8" w:space="0"/>
        <w:left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9">
    <w:name w:val="Normal centered"/>
    <w:basedOn w:val="1"/>
    <w:next w:val="1"/>
    <w:qFormat/>
    <w:uiPriority w:val="0"/>
    <w:pPr>
      <w:widowControl/>
      <w:spacing w:before="100" w:beforeAutospacing="1" w:after="100" w:afterAutospacing="1"/>
      <w:jc w:val="center"/>
    </w:pPr>
    <w:rPr>
      <w:rFonts w:ascii="Tahoma" w:hAnsi="Tahoma"/>
      <w:kern w:val="0"/>
      <w:sz w:val="20"/>
      <w:szCs w:val="20"/>
      <w:lang w:eastAsia="en-US"/>
    </w:rPr>
  </w:style>
  <w:style w:type="paragraph" w:customStyle="1" w:styleId="400">
    <w:name w:val="壹 1.(1)"/>
    <w:basedOn w:val="1"/>
    <w:qFormat/>
    <w:uiPriority w:val="0"/>
    <w:pPr>
      <w:adjustRightInd w:val="0"/>
      <w:spacing w:line="360" w:lineRule="exact"/>
      <w:ind w:left="1560" w:hanging="447"/>
      <w:textAlignment w:val="baseline"/>
    </w:pPr>
    <w:rPr>
      <w:rFonts w:ascii="華康楷書體W5" w:eastAsia="華康楷書體W5"/>
      <w:kern w:val="0"/>
      <w:sz w:val="24"/>
      <w:szCs w:val="20"/>
      <w:lang w:eastAsia="zh-TW"/>
    </w:rPr>
  </w:style>
  <w:style w:type="paragraph" w:customStyle="1" w:styleId="40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402">
    <w:name w:val="CM36"/>
    <w:basedOn w:val="181"/>
    <w:next w:val="181"/>
    <w:qFormat/>
    <w:uiPriority w:val="0"/>
    <w:pPr>
      <w:spacing w:after="263"/>
    </w:pPr>
    <w:rPr>
      <w:rFonts w:ascii="Arial" w:hAnsi="Arial" w:cs="Arial"/>
      <w:color w:val="auto"/>
    </w:rPr>
  </w:style>
  <w:style w:type="paragraph" w:customStyle="1" w:styleId="403">
    <w:name w:val="Char1 Char Char Char11"/>
    <w:basedOn w:val="1"/>
    <w:qFormat/>
    <w:uiPriority w:val="0"/>
    <w:rPr>
      <w:szCs w:val="21"/>
    </w:rPr>
  </w:style>
  <w:style w:type="paragraph" w:customStyle="1" w:styleId="4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5">
    <w:name w:val="正文缩进2"/>
    <w:basedOn w:val="1"/>
    <w:qFormat/>
    <w:uiPriority w:val="0"/>
    <w:pPr>
      <w:autoSpaceDE w:val="0"/>
      <w:autoSpaceDN w:val="0"/>
      <w:ind w:firstLine="420"/>
      <w:jc w:val="left"/>
    </w:pPr>
    <w:rPr>
      <w:rFonts w:hint="eastAsia" w:ascii="宋体"/>
      <w:sz w:val="24"/>
    </w:rPr>
  </w:style>
  <w:style w:type="paragraph" w:customStyle="1" w:styleId="406">
    <w:name w:val="壹 1.(2)"/>
    <w:basedOn w:val="400"/>
    <w:qFormat/>
    <w:uiPriority w:val="0"/>
    <w:pPr>
      <w:ind w:left="2040"/>
    </w:pPr>
    <w:rPr>
      <w:rFonts w:ascii="Times New Roman" w:eastAsia="宋体"/>
    </w:rPr>
  </w:style>
  <w:style w:type="paragraph" w:customStyle="1" w:styleId="40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b/>
      <w:bCs/>
      <w:kern w:val="0"/>
      <w:sz w:val="24"/>
    </w:rPr>
  </w:style>
  <w:style w:type="paragraph" w:customStyle="1" w:styleId="40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4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1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left"/>
      <w:textAlignment w:val="center"/>
    </w:pPr>
    <w:rPr>
      <w:rFonts w:ascii="宋体" w:hAnsi="宋体" w:cs="宋体"/>
      <w:b/>
      <w:bCs/>
      <w:kern w:val="0"/>
      <w:sz w:val="24"/>
    </w:rPr>
  </w:style>
  <w:style w:type="paragraph" w:customStyle="1" w:styleId="41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412">
    <w:name w:val="无间隔2"/>
    <w:qFormat/>
    <w:uiPriority w:val="0"/>
    <w:rPr>
      <w:rFonts w:ascii="Calibri" w:hAnsi="Calibri" w:eastAsia="宋体" w:cs="Times New Roman"/>
      <w:sz w:val="22"/>
      <w:lang w:val="en-US" w:eastAsia="zh-CN" w:bidi="ar-SA"/>
    </w:rPr>
  </w:style>
  <w:style w:type="paragraph" w:customStyle="1" w:styleId="413">
    <w:name w:val="Sub item level 2"/>
    <w:basedOn w:val="387"/>
    <w:next w:val="1"/>
    <w:qFormat/>
    <w:uiPriority w:val="0"/>
    <w:rPr>
      <w:rFonts w:ascii="Times New Roman" w:hAnsi="Times New Roman"/>
      <w:i/>
    </w:rPr>
  </w:style>
  <w:style w:type="paragraph" w:customStyle="1" w:styleId="414">
    <w:name w:val="普通表格1"/>
    <w:basedOn w:val="1"/>
    <w:qFormat/>
    <w:uiPriority w:val="0"/>
    <w:pPr>
      <w:widowControl/>
      <w:jc w:val="left"/>
    </w:pPr>
    <w:rPr>
      <w:rFonts w:ascii="Tahoma" w:hAnsi="Tahoma"/>
      <w:kern w:val="0"/>
      <w:sz w:val="20"/>
      <w:szCs w:val="20"/>
      <w:lang w:eastAsia="en-US"/>
    </w:rPr>
  </w:style>
  <w:style w:type="paragraph" w:customStyle="1" w:styleId="41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416">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7">
    <w:name w:val="CM40"/>
    <w:basedOn w:val="181"/>
    <w:next w:val="181"/>
    <w:qFormat/>
    <w:uiPriority w:val="0"/>
    <w:pPr>
      <w:spacing w:after="465"/>
    </w:pPr>
    <w:rPr>
      <w:rFonts w:ascii="Arial" w:hAnsi="Arial" w:cs="Arial"/>
      <w:color w:val="auto"/>
    </w:rPr>
  </w:style>
  <w:style w:type="paragraph" w:customStyle="1" w:styleId="418">
    <w:name w:val="壹 1.(2)內文"/>
    <w:basedOn w:val="419"/>
    <w:qFormat/>
    <w:uiPriority w:val="0"/>
    <w:pPr>
      <w:ind w:left="2040" w:firstLine="0"/>
      <w:jc w:val="both"/>
    </w:pPr>
    <w:rPr>
      <w:rFonts w:ascii="Times New Roman" w:eastAsia="宋体"/>
    </w:rPr>
  </w:style>
  <w:style w:type="paragraph" w:customStyle="1" w:styleId="419">
    <w:name w:val="壹 1.(3)"/>
    <w:basedOn w:val="1"/>
    <w:qFormat/>
    <w:uiPriority w:val="0"/>
    <w:pPr>
      <w:adjustRightInd w:val="0"/>
      <w:spacing w:line="360" w:lineRule="exact"/>
      <w:ind w:left="2520" w:hanging="360"/>
      <w:jc w:val="left"/>
      <w:textAlignment w:val="baseline"/>
    </w:pPr>
    <w:rPr>
      <w:rFonts w:ascii="華康楷書體W5(P)" w:eastAsia="華康楷書體W5(P)"/>
      <w:kern w:val="0"/>
      <w:sz w:val="24"/>
      <w:szCs w:val="20"/>
      <w:lang w:eastAsia="zh-TW"/>
    </w:rPr>
  </w:style>
  <w:style w:type="paragraph" w:customStyle="1" w:styleId="4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kern w:val="0"/>
      <w:sz w:val="24"/>
    </w:rPr>
  </w:style>
  <w:style w:type="paragraph" w:customStyle="1" w:styleId="4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2">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A8FE86"/>
      <w:spacing w:before="100" w:beforeAutospacing="1" w:after="100" w:afterAutospacing="1"/>
      <w:jc w:val="left"/>
      <w:textAlignment w:val="center"/>
    </w:pPr>
    <w:rPr>
      <w:rFonts w:ascii="宋体" w:hAnsi="宋体" w:cs="宋体"/>
      <w:b/>
      <w:bCs/>
      <w:kern w:val="0"/>
      <w:sz w:val="24"/>
    </w:rPr>
  </w:style>
  <w:style w:type="paragraph" w:customStyle="1" w:styleId="42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5">
    <w:name w:val="正文缩进3"/>
    <w:basedOn w:val="1"/>
    <w:qFormat/>
    <w:uiPriority w:val="0"/>
    <w:pPr>
      <w:autoSpaceDE w:val="0"/>
      <w:autoSpaceDN w:val="0"/>
      <w:ind w:firstLine="420"/>
      <w:jc w:val="left"/>
    </w:pPr>
    <w:rPr>
      <w:rFonts w:hint="eastAsia" w:ascii="宋体"/>
      <w:sz w:val="24"/>
    </w:rPr>
  </w:style>
  <w:style w:type="paragraph" w:customStyle="1" w:styleId="426">
    <w:name w:val="Char2"/>
    <w:basedOn w:val="1"/>
    <w:qFormat/>
    <w:uiPriority w:val="0"/>
  </w:style>
  <w:style w:type="paragraph" w:customStyle="1" w:styleId="427">
    <w:name w:val="List Paragraph2"/>
    <w:basedOn w:val="1"/>
    <w:qFormat/>
    <w:uiPriority w:val="0"/>
    <w:pPr>
      <w:ind w:firstLine="420" w:firstLineChars="200"/>
    </w:pPr>
  </w:style>
  <w:style w:type="table" w:customStyle="1" w:styleId="428">
    <w:name w:val="网格型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9">
    <w:name w:val="10"/>
    <w:basedOn w:val="133"/>
    <w:qFormat/>
    <w:uiPriority w:val="0"/>
    <w:rPr>
      <w:rFonts w:hint="default" w:ascii="Calibri" w:hAnsi="Calibri" w:cs="Calibri"/>
    </w:rPr>
  </w:style>
  <w:style w:type="character" w:customStyle="1" w:styleId="430">
    <w:name w:val="16"/>
    <w:basedOn w:val="133"/>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54</Pages>
  <Words>645</Words>
  <Characters>1991</Characters>
  <Lines>1</Lines>
  <Paragraphs>1</Paragraphs>
  <TotalTime>2</TotalTime>
  <ScaleCrop>false</ScaleCrop>
  <LinksUpToDate>false</LinksUpToDate>
  <CharactersWithSpaces>2258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2025-02-10T08:23:00Z</dcterms:created>
  <dc:creator>*</dc:creator>
  <cp:lastModifiedBy>86151</cp:lastModifiedBy>
  <cp:lastPrinted>2022-11-22T09:04:00Z</cp:lastPrinted>
  <dcterms:modified xsi:type="dcterms:W3CDTF">2026-01-09T07:11:50Z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4BCC528B251B40A1B5621C56CCC45905_13</vt:lpwstr>
  </property>
  <property fmtid="{D5CDD505-2E9C-101B-9397-08002B2CF9AE}" pid="4" name="KSOTemplateDocerSaveRecord">
    <vt:lpwstr>eyJoZGlkIjoiYzZkNzQ4ZWFiZmQ4NTRhOWRkZTk3YTMwMjlmMmZhYmUiLCJ1c2VySWQiOiIxNDAyNDY5MjEwIn0=</vt:lpwstr>
  </property>
</Properties>
</file>